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D8" w:rsidRPr="00EF2CA2" w:rsidRDefault="00EF2CA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u w:val="single"/>
        </w:rPr>
      </w:pPr>
      <w:r w:rsidRPr="00EF2CA2">
        <w:rPr>
          <w:rFonts w:ascii="Times New Roman" w:hAnsi="Times New Roman" w:cs="Times New Roman"/>
          <w:b/>
          <w:color w:val="000000"/>
          <w:sz w:val="36"/>
          <w:szCs w:val="36"/>
        </w:rPr>
        <w:t>Администрация Ивановского сельского поселения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7F11D8">
        <w:trPr>
          <w:trHeight w:val="112"/>
        </w:trPr>
        <w:tc>
          <w:tcPr>
            <w:tcW w:w="10031" w:type="dxa"/>
          </w:tcPr>
          <w:p w:rsidR="007F11D8" w:rsidRDefault="007F11D8">
            <w:pPr>
              <w:pStyle w:val="Default"/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7F11D8" w:rsidRDefault="007F11D8">
            <w:pPr>
              <w:pStyle w:val="Default"/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7F11D8" w:rsidRDefault="007F11D8">
            <w:pPr>
              <w:pStyle w:val="Default"/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7F11D8" w:rsidRDefault="008D2088">
            <w:pPr>
              <w:pStyle w:val="Default"/>
              <w:widowControl w:val="0"/>
              <w:jc w:val="right"/>
            </w:pPr>
            <w:r>
              <w:rPr>
                <w:rFonts w:ascii="Times New Roman" w:hAnsi="Times New Roman" w:cs="Times New Roman"/>
                <w:b/>
                <w:bCs/>
              </w:rPr>
              <w:t xml:space="preserve"> УТВЕРЖДАЮ</w:t>
            </w:r>
          </w:p>
        </w:tc>
      </w:tr>
      <w:tr w:rsidR="007F11D8">
        <w:trPr>
          <w:trHeight w:val="708"/>
        </w:trPr>
        <w:tc>
          <w:tcPr>
            <w:tcW w:w="10031" w:type="dxa"/>
          </w:tcPr>
          <w:p w:rsidR="007F11D8" w:rsidRDefault="008D2088">
            <w:pPr>
              <w:pStyle w:val="af"/>
              <w:widowControl w:val="0"/>
              <w:spacing w:after="0" w:line="340" w:lineRule="atLeast"/>
              <w:ind w:right="57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</w:t>
            </w:r>
            <w:r w:rsidR="00EF2CA2">
              <w:rPr>
                <w:rFonts w:ascii="Times New Roman" w:hAnsi="Times New Roman" w:cs="Times New Roman"/>
                <w:b/>
                <w:bCs/>
                <w:color w:val="000000"/>
              </w:rPr>
              <w:t>Глава сельского поселения</w:t>
            </w:r>
          </w:p>
          <w:p w:rsidR="007F11D8" w:rsidRDefault="007F11D8">
            <w:pPr>
              <w:pStyle w:val="af"/>
              <w:widowControl w:val="0"/>
              <w:spacing w:after="0" w:line="340" w:lineRule="atLeast"/>
              <w:ind w:right="57"/>
              <w:jc w:val="right"/>
              <w:rPr>
                <w:color w:val="000000"/>
              </w:rPr>
            </w:pPr>
          </w:p>
        </w:tc>
      </w:tr>
      <w:tr w:rsidR="007F11D8">
        <w:trPr>
          <w:trHeight w:val="112"/>
        </w:trPr>
        <w:tc>
          <w:tcPr>
            <w:tcW w:w="10031" w:type="dxa"/>
          </w:tcPr>
          <w:p w:rsidR="007F11D8" w:rsidRDefault="008D2088">
            <w:pPr>
              <w:pStyle w:val="Default"/>
              <w:widowControl w:val="0"/>
              <w:jc w:val="right"/>
            </w:pPr>
            <w:r>
              <w:rPr>
                <w:rFonts w:ascii="Times New Roman" w:hAnsi="Times New Roman" w:cs="Times New Roman"/>
                <w:b/>
                <w:bCs/>
              </w:rPr>
              <w:t xml:space="preserve">___________________ </w:t>
            </w:r>
            <w:proofErr w:type="spellStart"/>
            <w:r w:rsidR="00EF2CA2" w:rsidRPr="00EF2CA2">
              <w:rPr>
                <w:rFonts w:ascii="Times New Roman" w:hAnsi="Times New Roman" w:cs="Times New Roman"/>
                <w:b/>
                <w:sz w:val="28"/>
                <w:szCs w:val="28"/>
              </w:rPr>
              <w:t>Эйнбаум</w:t>
            </w:r>
            <w:proofErr w:type="spellEnd"/>
            <w:r w:rsidR="00EF2CA2" w:rsidRPr="00EF2C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М.А</w:t>
            </w:r>
            <w:r w:rsidR="00012E9E" w:rsidRPr="00EF2CA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F11D8" w:rsidRDefault="007F11D8">
            <w:pPr>
              <w:pStyle w:val="Default"/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F11D8">
        <w:trPr>
          <w:trHeight w:val="112"/>
        </w:trPr>
        <w:tc>
          <w:tcPr>
            <w:tcW w:w="10031" w:type="dxa"/>
          </w:tcPr>
          <w:p w:rsidR="007F11D8" w:rsidRDefault="008D2088" w:rsidP="0034579D">
            <w:pPr>
              <w:pStyle w:val="Default"/>
              <w:widowControl w:val="0"/>
              <w:jc w:val="right"/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r w:rsidR="0034579D">
              <w:rPr>
                <w:rFonts w:ascii="Times New Roman" w:hAnsi="Times New Roman" w:cs="Times New Roman"/>
                <w:b/>
                <w:bCs/>
              </w:rPr>
              <w:t>19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» </w:t>
            </w:r>
            <w:r w:rsidR="0034579D">
              <w:rPr>
                <w:rFonts w:ascii="Times New Roman" w:hAnsi="Times New Roman" w:cs="Times New Roman"/>
                <w:b/>
                <w:bCs/>
              </w:rPr>
              <w:t>января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202</w:t>
            </w:r>
            <w:r w:rsidR="005C5359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г.</w:t>
            </w:r>
          </w:p>
        </w:tc>
      </w:tr>
    </w:tbl>
    <w:p w:rsidR="007F11D8" w:rsidRDefault="007F11D8">
      <w:pPr>
        <w:pStyle w:val="Default"/>
        <w:jc w:val="right"/>
        <w:rPr>
          <w:rFonts w:ascii="Times New Roman" w:hAnsi="Times New Roman" w:cs="Times New Roman"/>
        </w:rPr>
      </w:pPr>
    </w:p>
    <w:p w:rsidR="007F11D8" w:rsidRDefault="007F11D8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F11D8" w:rsidRDefault="007F11D8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F11D8" w:rsidRDefault="007F11D8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F11D8" w:rsidRDefault="007F11D8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F11D8" w:rsidRDefault="007F11D8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F11D8" w:rsidRDefault="007F11D8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F11D8" w:rsidRDefault="007F11D8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F11D8" w:rsidRDefault="007F11D8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F11D8" w:rsidRDefault="007F11D8">
      <w:pPr>
        <w:pStyle w:val="Defaul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F11D8" w:rsidRDefault="008D2088">
      <w:pPr>
        <w:pStyle w:val="Default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ПОЛОЖЕНИЕ</w:t>
      </w:r>
    </w:p>
    <w:p w:rsidR="007F11D8" w:rsidRDefault="008D2088">
      <w:pPr>
        <w:spacing w:after="0" w:line="240" w:lineRule="auto"/>
        <w:jc w:val="center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Идентификация опасностей, оценка и управление профессиональными рисками</w:t>
      </w: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7F11D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8D2088">
      <w:pPr>
        <w:pStyle w:val="af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7F11D8" w:rsidRDefault="008D2088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Одной из целей системы менеджмента охраны здоровья и обеспечения безопасности труда является ограничение риска и оптимизации условий труда работников. Начальным этапом управления рисками является проведение их оценки. Анализ риска состоит из оценки риска, управления риском и информации о риске. Оценка риска включает выявление опасности и характеристику риска. </w:t>
      </w:r>
    </w:p>
    <w:p w:rsidR="007F11D8" w:rsidRDefault="008D2088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Выбор показателей (ущерба, риска) и методов оценки рисков зависит от ряда факторов - целей оценки рисков (предоставление отчетных материалов, управление рисками и т.д.), необходимого количества статистической информации с точки зрения обеспечения приемлемой точности результатов, ресурсов и т.д. </w:t>
      </w:r>
    </w:p>
    <w:p w:rsidR="007F11D8" w:rsidRDefault="007F11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F11D8" w:rsidRDefault="008D2088">
      <w:pPr>
        <w:pStyle w:val="af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Нормативные ссылки</w:t>
      </w:r>
    </w:p>
    <w:p w:rsidR="007F11D8" w:rsidRDefault="008D20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Трудовой кодекс РФ;</w:t>
      </w:r>
    </w:p>
    <w:p w:rsidR="007F11D8" w:rsidRDefault="008D20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Федеральный закон от 28.12.2013 № 426-ФЗ «О специальной оценке условий труда»;</w:t>
      </w:r>
    </w:p>
    <w:p w:rsidR="007F11D8" w:rsidRDefault="008D20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ГОСТ 12.0.003-2015. Межгосударственный стандарт. Система стандартов безопасности труда. Опасные и вредные производственные факторы. Классификация; </w:t>
      </w:r>
    </w:p>
    <w:p w:rsidR="007F11D8" w:rsidRDefault="008D20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2.2.2006-05.  Гигиена труда. Руководство по гигиенической оценке факторов рабочей среды и трудового процесса. Критерии и классификация условий труда; </w:t>
      </w:r>
    </w:p>
    <w:p w:rsidR="007F11D8" w:rsidRDefault="008D2088">
      <w:pPr>
        <w:pStyle w:val="headertext0"/>
        <w:spacing w:before="280" w:beforeAutospacing="0" w:after="0" w:afterAutospacing="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- ГОСТ P 51897-2021 Менеджмент риска. Термины и определения;</w:t>
      </w:r>
    </w:p>
    <w:p w:rsidR="007F11D8" w:rsidRDefault="008D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Минтруда России от 29.10.2021 № 776н «Об утверждении Типового положения о системе управления охраной труда»;</w:t>
      </w:r>
    </w:p>
    <w:p w:rsidR="007F11D8" w:rsidRDefault="008D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Минтруда России от 28.12.2021 № 926 «Об утверждении Рекомендаций по выбору методов оценки уровней профессиональных рисков и по снижению уровней таких рисков»;</w:t>
      </w:r>
    </w:p>
    <w:p w:rsidR="007F11D8" w:rsidRDefault="008D20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- ГОСТ 12.0.230.4-2018 Система стандартов безопасности труда. Система управления охраной труда. Методы идентификации опасностей на различных этапах выполнения работ;</w:t>
      </w:r>
    </w:p>
    <w:p w:rsidR="007F11D8" w:rsidRDefault="008D20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ГОСТ 12.0.230.5-2018 Система стандартов безопасности труда ССБТ Система управления охраной труда. Методы оценки риска для обеспечения безопасности выполнения работ;</w:t>
      </w:r>
    </w:p>
    <w:p w:rsidR="007F11D8" w:rsidRDefault="008D208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Роструда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21.03.2019 N 77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Методических рекомендаций по проверке создания и обеспечения функционирования системы управления охраной труда;</w:t>
      </w:r>
    </w:p>
    <w:p w:rsidR="007F11D8" w:rsidRDefault="008D208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12.0.010-2009 Система стандартов безопасности труда (ССБТ). Системы управления охраной труда. Определение опасностей и оценка рисков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F11D8" w:rsidRDefault="007F11D8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11D8" w:rsidRDefault="008D208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  Общие положения</w:t>
      </w: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F11D8" w:rsidRDefault="008D20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«Идентификация опасностей, оценка и управление профессиональными рисками. Оценка результативности принятых мер по снижению уровня профессиональных рисков» (далее – Положение) направлено на практическую реализацию требований статей 209, 212, 218 ТК РФ. </w:t>
      </w:r>
    </w:p>
    <w:p w:rsidR="007F11D8" w:rsidRDefault="008D2088">
      <w:pPr>
        <w:spacing w:after="2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устанавливает порядок идентификации опасностей, оценки и управления профессиональными рисками при исполнении работниками своих трудовых функций, оценки результативности принятых мер по снижению уровня профессиональных рисков. </w:t>
      </w:r>
    </w:p>
    <w:p w:rsidR="007F11D8" w:rsidRDefault="008D2088">
      <w:pPr>
        <w:spacing w:after="2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Положение рассматривает риски, существующие исключительно в рамках производственной деятельности работодателя, в том числе риски, связанные с возникновением при этом возможных нештатных ситуаций. </w:t>
      </w:r>
    </w:p>
    <w:p w:rsidR="007F11D8" w:rsidRDefault="008D2088">
      <w:pPr>
        <w:spacing w:after="2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Процедура «Управление профессиональными рисками» утверждается приказом работодателя. </w:t>
      </w:r>
    </w:p>
    <w:p w:rsidR="007F11D8" w:rsidRDefault="008D2088">
      <w:pPr>
        <w:spacing w:after="2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Ответственность за реализацию процедуры «Управление профессиональными рисками» несёт работодатель. </w:t>
      </w:r>
    </w:p>
    <w:p w:rsidR="007F11D8" w:rsidRDefault="007F11D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11D8" w:rsidRDefault="008D20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Процедура «Управление профессиональными рисками»</w:t>
      </w:r>
    </w:p>
    <w:p w:rsidR="007F11D8" w:rsidRDefault="007F11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F11D8" w:rsidRDefault="008D20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целью организации создания и внедрения процедуры «Управления профессиональными рисками» (далее – Процедура) с учетом специфики 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реализуются следующие мероприятия: </w:t>
      </w:r>
    </w:p>
    <w:p w:rsidR="007F11D8" w:rsidRDefault="008D2088">
      <w:pPr>
        <w:numPr>
          <w:ilvl w:val="0"/>
          <w:numId w:val="1"/>
        </w:numPr>
        <w:spacing w:after="36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Сбор информации </w:t>
      </w:r>
    </w:p>
    <w:p w:rsidR="007F11D8" w:rsidRDefault="008D2088">
      <w:pPr>
        <w:numPr>
          <w:ilvl w:val="0"/>
          <w:numId w:val="1"/>
        </w:numPr>
        <w:spacing w:after="36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Идентификация опасностей </w:t>
      </w:r>
    </w:p>
    <w:p w:rsidR="007F11D8" w:rsidRDefault="008D2088">
      <w:pPr>
        <w:numPr>
          <w:ilvl w:val="0"/>
          <w:numId w:val="1"/>
        </w:numPr>
        <w:spacing w:after="36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уровня профессиональных рисков </w:t>
      </w:r>
    </w:p>
    <w:p w:rsidR="007F11D8" w:rsidRDefault="008D2088">
      <w:pPr>
        <w:numPr>
          <w:ilvl w:val="0"/>
          <w:numId w:val="1"/>
        </w:numPr>
        <w:spacing w:after="36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мер для устранения или снижения рисков </w:t>
      </w:r>
    </w:p>
    <w:p w:rsidR="007F11D8" w:rsidRDefault="008D2088">
      <w:pPr>
        <w:numPr>
          <w:ilvl w:val="0"/>
          <w:numId w:val="1"/>
        </w:numPr>
        <w:spacing w:after="36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Фиксирование и документирование результатов оценки рисков </w:t>
      </w:r>
    </w:p>
    <w:p w:rsidR="007F11D8" w:rsidRDefault="008D2088">
      <w:pPr>
        <w:numPr>
          <w:ilvl w:val="0"/>
          <w:numId w:val="1"/>
        </w:numPr>
        <w:spacing w:after="36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Информирование работников об уровнях профессиональных рисков и запланированных мерах по снижению рисков </w:t>
      </w: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11D8" w:rsidRDefault="008D20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Методика идентификации опасностей и оценки риска в системе управления охраной труда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1D8" w:rsidRDefault="008D2088">
      <w:pPr>
        <w:pStyle w:val="31"/>
        <w:shd w:val="clear" w:color="auto" w:fill="auto"/>
        <w:spacing w:before="0" w:after="0" w:line="240" w:lineRule="auto"/>
        <w:ind w:firstLine="454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Настоящая методика распространяется на процессы производственные организа</w:t>
      </w:r>
      <w:r>
        <w:rPr>
          <w:color w:val="000000"/>
          <w:sz w:val="24"/>
          <w:szCs w:val="24"/>
        </w:rPr>
        <w:softHyphen/>
        <w:t>ций и уст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навливает требования к оценке производственного риска на рабочих местах и территории пре</w:t>
      </w:r>
      <w:r>
        <w:rPr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приятия</w:t>
      </w:r>
      <w:proofErr w:type="gramStart"/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и</w:t>
      </w:r>
      <w:proofErr w:type="gramEnd"/>
      <w:r>
        <w:rPr>
          <w:color w:val="000000"/>
          <w:sz w:val="24"/>
          <w:szCs w:val="24"/>
        </w:rPr>
        <w:t xml:space="preserve"> может быть использован на различных уровнях - националь</w:t>
      </w:r>
      <w:r>
        <w:rPr>
          <w:color w:val="000000"/>
          <w:sz w:val="24"/>
          <w:szCs w:val="24"/>
        </w:rPr>
        <w:softHyphen/>
        <w:t>ном, в отрасли экономики и промышленности, в организации и на отдельном рабочем месте.</w:t>
      </w:r>
    </w:p>
    <w:p w:rsidR="007F11D8" w:rsidRDefault="008D2088">
      <w:pPr>
        <w:pStyle w:val="31"/>
        <w:shd w:val="clear" w:color="auto" w:fill="auto"/>
        <w:spacing w:before="0" w:after="0" w:line="240" w:lineRule="auto"/>
        <w:ind w:left="23" w:right="20" w:hanging="20"/>
        <w:jc w:val="left"/>
        <w:rPr>
          <w:sz w:val="24"/>
          <w:szCs w:val="24"/>
        </w:rPr>
      </w:pPr>
      <w:r>
        <w:rPr>
          <w:sz w:val="24"/>
          <w:szCs w:val="24"/>
        </w:rPr>
        <w:t>Настоящую методику применяют в целях:</w:t>
      </w:r>
    </w:p>
    <w:p w:rsidR="007F11D8" w:rsidRDefault="008D2088">
      <w:pPr>
        <w:pStyle w:val="31"/>
        <w:numPr>
          <w:ilvl w:val="0"/>
          <w:numId w:val="3"/>
        </w:numPr>
        <w:shd w:val="clear" w:color="auto" w:fill="auto"/>
        <w:tabs>
          <w:tab w:val="left" w:pos="889"/>
        </w:tabs>
        <w:spacing w:before="0" w:after="0" w:line="240" w:lineRule="auto"/>
        <w:ind w:left="23" w:right="20" w:hanging="20"/>
        <w:jc w:val="left"/>
        <w:rPr>
          <w:sz w:val="24"/>
          <w:szCs w:val="24"/>
        </w:rPr>
      </w:pPr>
      <w:r>
        <w:rPr>
          <w:sz w:val="24"/>
          <w:szCs w:val="24"/>
        </w:rPr>
        <w:t>обеспечения конституционного права работника на труд в условиях, отвечающих треб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ваниям безопасности и гигиены</w:t>
      </w:r>
    </w:p>
    <w:p w:rsidR="007F11D8" w:rsidRDefault="008D2088">
      <w:pPr>
        <w:pStyle w:val="31"/>
        <w:numPr>
          <w:ilvl w:val="0"/>
          <w:numId w:val="3"/>
        </w:numPr>
        <w:shd w:val="clear" w:color="auto" w:fill="auto"/>
        <w:tabs>
          <w:tab w:val="left" w:pos="908"/>
        </w:tabs>
        <w:spacing w:before="0" w:after="0" w:line="240" w:lineRule="auto"/>
        <w:ind w:left="23" w:right="20" w:hanging="20"/>
        <w:jc w:val="left"/>
        <w:rPr>
          <w:sz w:val="24"/>
          <w:szCs w:val="24"/>
        </w:rPr>
      </w:pPr>
      <w:r>
        <w:rPr>
          <w:sz w:val="24"/>
          <w:szCs w:val="24"/>
        </w:rPr>
        <w:t>получения данных (об опасностях и рисках) для информирования работников о риске п</w:t>
      </w:r>
      <w:r>
        <w:rPr>
          <w:sz w:val="24"/>
          <w:szCs w:val="24"/>
        </w:rPr>
        <w:t>о</w:t>
      </w:r>
      <w:r>
        <w:rPr>
          <w:sz w:val="24"/>
          <w:szCs w:val="24"/>
        </w:rPr>
        <w:t>вреждения здоровья;</w:t>
      </w:r>
    </w:p>
    <w:p w:rsidR="007F11D8" w:rsidRDefault="008D2088">
      <w:pPr>
        <w:pStyle w:val="31"/>
        <w:numPr>
          <w:ilvl w:val="0"/>
          <w:numId w:val="3"/>
        </w:numPr>
        <w:shd w:val="clear" w:color="auto" w:fill="auto"/>
        <w:tabs>
          <w:tab w:val="left" w:pos="207"/>
        </w:tabs>
        <w:spacing w:before="0" w:after="0" w:line="240" w:lineRule="auto"/>
        <w:ind w:left="23" w:right="20" w:hanging="20"/>
        <w:jc w:val="left"/>
        <w:rPr>
          <w:sz w:val="24"/>
          <w:szCs w:val="24"/>
        </w:rPr>
      </w:pPr>
      <w:r>
        <w:rPr>
          <w:sz w:val="24"/>
          <w:szCs w:val="24"/>
        </w:rPr>
        <w:t>обоснования положенной социальной защиты работников, в том числе компенсаций за работу во вредных и (или) опасных условиях труда;</w:t>
      </w:r>
    </w:p>
    <w:p w:rsidR="007F11D8" w:rsidRDefault="008D2088">
      <w:pPr>
        <w:pStyle w:val="31"/>
        <w:numPr>
          <w:ilvl w:val="0"/>
          <w:numId w:val="3"/>
        </w:numPr>
        <w:shd w:val="clear" w:color="auto" w:fill="auto"/>
        <w:tabs>
          <w:tab w:val="left" w:pos="178"/>
        </w:tabs>
        <w:spacing w:before="0" w:after="0" w:line="240" w:lineRule="auto"/>
        <w:ind w:left="23" w:hanging="20"/>
        <w:jc w:val="left"/>
        <w:rPr>
          <w:sz w:val="24"/>
          <w:szCs w:val="24"/>
        </w:rPr>
      </w:pPr>
      <w:r>
        <w:rPr>
          <w:sz w:val="24"/>
          <w:szCs w:val="24"/>
        </w:rPr>
        <w:t>оценивания эффективности мер по совершенствованию охраны труда;</w:t>
      </w:r>
    </w:p>
    <w:p w:rsidR="007F11D8" w:rsidRDefault="008D2088">
      <w:pPr>
        <w:pStyle w:val="31"/>
        <w:numPr>
          <w:ilvl w:val="0"/>
          <w:numId w:val="3"/>
        </w:numPr>
        <w:shd w:val="clear" w:color="auto" w:fill="auto"/>
        <w:tabs>
          <w:tab w:val="left" w:pos="174"/>
        </w:tabs>
        <w:spacing w:before="0" w:after="0" w:line="240" w:lineRule="auto"/>
        <w:ind w:left="23" w:hanging="20"/>
        <w:jc w:val="left"/>
        <w:rPr>
          <w:sz w:val="24"/>
          <w:szCs w:val="24"/>
        </w:rPr>
      </w:pPr>
      <w:r>
        <w:rPr>
          <w:sz w:val="24"/>
          <w:szCs w:val="24"/>
        </w:rPr>
        <w:t>принятия превентивных мер по защите здоровья работника;</w:t>
      </w:r>
    </w:p>
    <w:p w:rsidR="007F11D8" w:rsidRDefault="008D2088">
      <w:pPr>
        <w:pStyle w:val="31"/>
        <w:numPr>
          <w:ilvl w:val="0"/>
          <w:numId w:val="3"/>
        </w:numPr>
        <w:shd w:val="clear" w:color="auto" w:fill="auto"/>
        <w:tabs>
          <w:tab w:val="left" w:pos="173"/>
        </w:tabs>
        <w:spacing w:before="0" w:after="0" w:line="240" w:lineRule="auto"/>
        <w:ind w:left="23" w:right="20" w:hanging="20"/>
        <w:jc w:val="left"/>
        <w:rPr>
          <w:sz w:val="24"/>
          <w:szCs w:val="24"/>
        </w:rPr>
      </w:pPr>
      <w:r>
        <w:rPr>
          <w:sz w:val="24"/>
          <w:szCs w:val="24"/>
        </w:rPr>
        <w:t>выяснения причинно-следственной связи состояния здоровья работников с условиями труда;</w:t>
      </w:r>
    </w:p>
    <w:p w:rsidR="007F11D8" w:rsidRDefault="008D2088">
      <w:pPr>
        <w:pStyle w:val="31"/>
        <w:numPr>
          <w:ilvl w:val="0"/>
          <w:numId w:val="3"/>
        </w:numPr>
        <w:shd w:val="clear" w:color="auto" w:fill="auto"/>
        <w:tabs>
          <w:tab w:val="left" w:pos="193"/>
        </w:tabs>
        <w:spacing w:before="0" w:after="0" w:line="240" w:lineRule="auto"/>
        <w:ind w:left="23" w:right="20" w:hanging="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обоснования положений трудового договора об обязательствах работодателя по обеспе</w:t>
      </w:r>
      <w:r>
        <w:rPr>
          <w:color w:val="000000"/>
          <w:sz w:val="24"/>
          <w:szCs w:val="24"/>
        </w:rPr>
        <w:softHyphen/>
        <w:t>чению работника необходимыми средствами индивидуальной защиты, установлению со</w:t>
      </w:r>
      <w:r>
        <w:rPr>
          <w:color w:val="000000"/>
          <w:sz w:val="24"/>
          <w:szCs w:val="24"/>
        </w:rPr>
        <w:softHyphen/>
        <w:t>ответствующего режима труда и отдыха, а также по обеспечению других предусмотрен</w:t>
      </w:r>
      <w:r>
        <w:rPr>
          <w:color w:val="000000"/>
          <w:sz w:val="24"/>
          <w:szCs w:val="24"/>
        </w:rPr>
        <w:softHyphen/>
        <w:t>ных законодательством г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рантий и компенсаций.</w:t>
      </w:r>
    </w:p>
    <w:p w:rsidR="007F11D8" w:rsidRDefault="008D2088">
      <w:pPr>
        <w:pStyle w:val="31"/>
        <w:shd w:val="clear" w:color="auto" w:fill="auto"/>
        <w:spacing w:before="0" w:after="0" w:line="240" w:lineRule="auto"/>
        <w:ind w:left="23" w:right="20" w:hanging="20"/>
        <w:jc w:val="left"/>
        <w:rPr>
          <w:sz w:val="24"/>
          <w:szCs w:val="24"/>
        </w:rPr>
      </w:pPr>
      <w:r>
        <w:rPr>
          <w:sz w:val="24"/>
          <w:szCs w:val="24"/>
        </w:rPr>
        <w:t>- снижение трудоемкости и сроков выполнения работ по оценке профессиональных рисков;</w:t>
      </w:r>
    </w:p>
    <w:p w:rsidR="007F11D8" w:rsidRDefault="008D2088">
      <w:pPr>
        <w:pStyle w:val="31"/>
        <w:shd w:val="clear" w:color="auto" w:fill="auto"/>
        <w:spacing w:before="0" w:after="0" w:line="240" w:lineRule="auto"/>
        <w:ind w:left="23" w:hanging="20"/>
        <w:jc w:val="left"/>
        <w:rPr>
          <w:sz w:val="24"/>
          <w:szCs w:val="24"/>
        </w:rPr>
      </w:pPr>
      <w:r>
        <w:rPr>
          <w:sz w:val="24"/>
          <w:szCs w:val="24"/>
        </w:rPr>
        <w:t>- обеспечение стабильного уровня качества результатов оценки профессиональных</w:t>
      </w:r>
    </w:p>
    <w:p w:rsidR="007F11D8" w:rsidRDefault="008D2088">
      <w:pPr>
        <w:pStyle w:val="31"/>
        <w:shd w:val="clear" w:color="auto" w:fill="auto"/>
        <w:spacing w:before="0" w:after="0" w:line="240" w:lineRule="auto"/>
        <w:ind w:left="23" w:hanging="20"/>
        <w:jc w:val="left"/>
        <w:rPr>
          <w:sz w:val="24"/>
          <w:szCs w:val="24"/>
        </w:rPr>
      </w:pPr>
      <w:r>
        <w:rPr>
          <w:sz w:val="24"/>
          <w:szCs w:val="24"/>
        </w:rPr>
        <w:t>рисков.</w:t>
      </w:r>
    </w:p>
    <w:p w:rsidR="007F11D8" w:rsidRDefault="007F11D8">
      <w:pPr>
        <w:pStyle w:val="31"/>
        <w:shd w:val="clear" w:color="auto" w:fill="auto"/>
        <w:spacing w:before="0" w:after="0" w:line="240" w:lineRule="auto"/>
        <w:ind w:left="23" w:right="20" w:firstLine="700"/>
        <w:jc w:val="left"/>
        <w:rPr>
          <w:sz w:val="24"/>
          <w:szCs w:val="24"/>
        </w:rPr>
      </w:pPr>
    </w:p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tbl>
      <w:tblPr>
        <w:tblW w:w="73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4978"/>
        <w:gridCol w:w="1249"/>
      </w:tblGrid>
      <w:tr w:rsidR="007F11D8">
        <w:trPr>
          <w:trHeight w:hRule="exact" w:val="288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№ п.п.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 xml:space="preserve">Уровень вероятности, </w:t>
            </w:r>
            <w:r>
              <w:rPr>
                <w:rStyle w:val="11pt"/>
                <w:lang w:val="en-US"/>
              </w:rPr>
              <w:t>P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Балл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ind w:left="800"/>
              <w:jc w:val="left"/>
            </w:pPr>
            <w:r>
              <w:rPr>
                <w:rStyle w:val="11pt"/>
              </w:rPr>
              <w:t>Малая вероятность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2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ind w:left="800"/>
              <w:jc w:val="left"/>
            </w:pPr>
            <w:r>
              <w:rPr>
                <w:rStyle w:val="11pt"/>
              </w:rPr>
              <w:t>Умеренная вероятность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2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ind w:left="800"/>
              <w:jc w:val="left"/>
            </w:pPr>
            <w:r>
              <w:rPr>
                <w:rStyle w:val="11pt"/>
              </w:rPr>
              <w:t>Средняя вероятность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</w:t>
            </w:r>
          </w:p>
        </w:tc>
      </w:tr>
      <w:tr w:rsidR="007F11D8">
        <w:trPr>
          <w:trHeight w:hRule="exact" w:val="274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4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ind w:left="800"/>
              <w:jc w:val="left"/>
            </w:pPr>
            <w:r>
              <w:rPr>
                <w:rStyle w:val="11pt"/>
              </w:rPr>
              <w:t>Высокая вероятность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5</w:t>
            </w:r>
          </w:p>
        </w:tc>
      </w:tr>
      <w:tr w:rsidR="007F11D8">
        <w:trPr>
          <w:trHeight w:hRule="exact" w:val="288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5</w:t>
            </w:r>
          </w:p>
        </w:tc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ind w:left="800"/>
              <w:jc w:val="left"/>
            </w:pPr>
            <w:r>
              <w:rPr>
                <w:rStyle w:val="11pt"/>
              </w:rPr>
              <w:t>Очень высокая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10</w:t>
            </w:r>
          </w:p>
        </w:tc>
      </w:tr>
    </w:tbl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tbl>
      <w:tblPr>
        <w:tblW w:w="73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1"/>
        <w:gridCol w:w="4963"/>
        <w:gridCol w:w="1248"/>
      </w:tblGrid>
      <w:tr w:rsidR="007F11D8">
        <w:trPr>
          <w:trHeight w:hRule="exact" w:val="283"/>
          <w:jc w:val="center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№ п.п.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 xml:space="preserve">Уровень последствий, </w:t>
            </w:r>
            <w:r>
              <w:rPr>
                <w:rStyle w:val="11pt"/>
                <w:lang w:val="en-US"/>
              </w:rPr>
              <w:t>L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Балл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lastRenderedPageBreak/>
              <w:t>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ind w:left="760"/>
              <w:jc w:val="left"/>
            </w:pPr>
            <w:r>
              <w:rPr>
                <w:rStyle w:val="11pt"/>
              </w:rPr>
              <w:t>Малозначительные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2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ind w:left="760"/>
              <w:jc w:val="left"/>
            </w:pPr>
            <w:r>
              <w:rPr>
                <w:rStyle w:val="11pt"/>
              </w:rPr>
              <w:t>Приемлемые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ind w:left="760"/>
              <w:jc w:val="left"/>
            </w:pPr>
            <w:r>
              <w:rPr>
                <w:rStyle w:val="11pt"/>
              </w:rPr>
              <w:t>Средние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8</w:t>
            </w:r>
          </w:p>
        </w:tc>
      </w:tr>
      <w:tr w:rsidR="007F11D8">
        <w:trPr>
          <w:trHeight w:hRule="exact" w:val="288"/>
          <w:jc w:val="center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4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ind w:left="760"/>
              <w:jc w:val="left"/>
            </w:pPr>
            <w:r>
              <w:rPr>
                <w:rStyle w:val="11pt"/>
              </w:rPr>
              <w:t>Серьезные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15</w:t>
            </w:r>
          </w:p>
        </w:tc>
      </w:tr>
      <w:tr w:rsidR="007F11D8">
        <w:trPr>
          <w:trHeight w:hRule="exact" w:val="288"/>
          <w:jc w:val="center"/>
        </w:trPr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rPr>
                <w:rStyle w:val="11pt"/>
              </w:rPr>
            </w:pPr>
            <w:r>
              <w:rPr>
                <w:rStyle w:val="11pt"/>
              </w:rPr>
              <w:t>5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60" w:line="220" w:lineRule="exact"/>
              <w:ind w:left="180"/>
              <w:jc w:val="left"/>
            </w:pPr>
            <w:r>
              <w:rPr>
                <w:rStyle w:val="11pt"/>
              </w:rPr>
              <w:t xml:space="preserve">          Катастро</w:t>
            </w:r>
            <w:r>
              <w:rPr>
                <w:rStyle w:val="11pt"/>
              </w:rPr>
              <w:softHyphen/>
              <w:t>фические</w:t>
            </w:r>
          </w:p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ind w:left="760"/>
              <w:jc w:val="left"/>
              <w:rPr>
                <w:rStyle w:val="11pt"/>
              </w:rPr>
            </w:pPr>
            <w:proofErr w:type="spellStart"/>
            <w:r>
              <w:rPr>
                <w:rStyle w:val="11pt"/>
              </w:rPr>
              <w:t>фические</w:t>
            </w:r>
            <w:proofErr w:type="spellEnd"/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rPr>
                <w:rStyle w:val="11pt"/>
              </w:rPr>
            </w:pPr>
            <w:r>
              <w:rPr>
                <w:rStyle w:val="11pt"/>
              </w:rPr>
              <w:t>50</w:t>
            </w:r>
          </w:p>
        </w:tc>
      </w:tr>
    </w:tbl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7F11D8" w:rsidRDefault="007F11D8">
      <w:pPr>
        <w:rPr>
          <w:sz w:val="2"/>
          <w:szCs w:val="2"/>
        </w:rPr>
      </w:pPr>
    </w:p>
    <w:p w:rsidR="007F11D8" w:rsidRDefault="008D2088">
      <w:pPr>
        <w:tabs>
          <w:tab w:val="left" w:leader="underscore" w:pos="6902"/>
        </w:tabs>
        <w:spacing w:line="270" w:lineRule="exact"/>
        <w:jc w:val="center"/>
        <w:rPr>
          <w:b/>
          <w:sz w:val="24"/>
          <w:szCs w:val="24"/>
        </w:rPr>
      </w:pPr>
      <w:r>
        <w:rPr>
          <w:rStyle w:val="22"/>
          <w:rFonts w:eastAsiaTheme="minorHAnsi"/>
          <w:b/>
          <w:sz w:val="24"/>
          <w:szCs w:val="24"/>
          <w:u w:val="none"/>
        </w:rPr>
        <w:t xml:space="preserve">Матрица оценки риска </w:t>
      </w:r>
      <w:proofErr w:type="spellStart"/>
      <w:r>
        <w:rPr>
          <w:rStyle w:val="22"/>
          <w:rFonts w:eastAsiaTheme="minorHAnsi"/>
          <w:b/>
          <w:sz w:val="24"/>
          <w:szCs w:val="24"/>
          <w:u w:val="none"/>
        </w:rPr>
        <w:t>травмирования</w:t>
      </w:r>
      <w:proofErr w:type="spellEnd"/>
    </w:p>
    <w:tbl>
      <w:tblPr>
        <w:tblW w:w="101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17"/>
        <w:gridCol w:w="1447"/>
        <w:gridCol w:w="1462"/>
        <w:gridCol w:w="1447"/>
        <w:gridCol w:w="1457"/>
        <w:gridCol w:w="1456"/>
      </w:tblGrid>
      <w:tr w:rsidR="007F11D8">
        <w:trPr>
          <w:trHeight w:hRule="exact" w:val="278"/>
          <w:jc w:val="center"/>
        </w:trPr>
        <w:tc>
          <w:tcPr>
            <w:tcW w:w="29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69" w:lineRule="exact"/>
            </w:pPr>
            <w:r>
              <w:rPr>
                <w:rStyle w:val="11pt"/>
              </w:rPr>
              <w:t>Вероятность происшествия, ранг</w:t>
            </w:r>
            <w:proofErr w:type="gramStart"/>
            <w:r>
              <w:rPr>
                <w:rStyle w:val="11pt"/>
              </w:rPr>
              <w:t xml:space="preserve"> ,</w:t>
            </w:r>
            <w:proofErr w:type="gramEnd"/>
            <w:r>
              <w:rPr>
                <w:rStyle w:val="11pt"/>
              </w:rPr>
              <w:t>Р</w:t>
            </w:r>
          </w:p>
        </w:tc>
        <w:tc>
          <w:tcPr>
            <w:tcW w:w="726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 xml:space="preserve">Последствия, ранг </w:t>
            </w:r>
            <w:r>
              <w:rPr>
                <w:rStyle w:val="11pt"/>
                <w:lang w:val="en-US"/>
              </w:rPr>
              <w:t>L</w:t>
            </w:r>
          </w:p>
        </w:tc>
      </w:tr>
      <w:tr w:rsidR="007F11D8">
        <w:trPr>
          <w:trHeight w:hRule="exact" w:val="518"/>
          <w:jc w:val="center"/>
        </w:trPr>
        <w:tc>
          <w:tcPr>
            <w:tcW w:w="291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7F11D8" w:rsidRDefault="007F11D8">
            <w:pPr>
              <w:pStyle w:val="31"/>
              <w:shd w:val="clear" w:color="auto" w:fill="auto"/>
              <w:spacing w:before="0" w:after="0" w:line="220" w:lineRule="exact"/>
              <w:rPr>
                <w:rStyle w:val="11pt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  <w:rPr>
                <w:rStyle w:val="11pt"/>
              </w:rPr>
            </w:pPr>
            <w:r>
              <w:rPr>
                <w:rStyle w:val="11pt"/>
              </w:rPr>
              <w:t>Малозначи</w:t>
            </w:r>
            <w:r>
              <w:rPr>
                <w:rStyle w:val="11pt"/>
              </w:rPr>
              <w:softHyphen/>
              <w:t>тельные, 1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widowControl w:val="0"/>
              <w:jc w:val="center"/>
            </w:pPr>
            <w:r>
              <w:rPr>
                <w:rStyle w:val="11pt"/>
                <w:rFonts w:eastAsiaTheme="minorHAnsi"/>
              </w:rPr>
              <w:t>Приемлемые, 3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59" w:lineRule="exact"/>
            </w:pPr>
            <w:r>
              <w:rPr>
                <w:rStyle w:val="11pt"/>
              </w:rPr>
              <w:t>Средние, 8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widowControl w:val="0"/>
              <w:jc w:val="center"/>
            </w:pPr>
            <w:r>
              <w:rPr>
                <w:rStyle w:val="11pt"/>
                <w:rFonts w:eastAsiaTheme="minorHAnsi"/>
              </w:rPr>
              <w:t>Серьезные, 15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60" w:line="220" w:lineRule="exact"/>
            </w:pPr>
            <w:r>
              <w:rPr>
                <w:rStyle w:val="11pt"/>
              </w:rPr>
              <w:t>Катастрофич</w:t>
            </w:r>
            <w:r>
              <w:rPr>
                <w:rStyle w:val="11pt"/>
              </w:rPr>
              <w:t>е</w:t>
            </w:r>
            <w:r>
              <w:rPr>
                <w:rStyle w:val="11pt"/>
              </w:rPr>
              <w:t>ские, 50</w:t>
            </w:r>
          </w:p>
          <w:p w:rsidR="007F11D8" w:rsidRDefault="008D2088">
            <w:pPr>
              <w:pStyle w:val="31"/>
              <w:shd w:val="clear" w:color="auto" w:fill="auto"/>
              <w:spacing w:before="0" w:after="0" w:line="259" w:lineRule="exact"/>
            </w:pPr>
            <w:r>
              <w:rPr>
                <w:rStyle w:val="11pt"/>
              </w:rPr>
              <w:t>, 1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Малая, 1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8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15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50</w:t>
            </w:r>
          </w:p>
        </w:tc>
      </w:tr>
      <w:tr w:rsidR="007F11D8">
        <w:trPr>
          <w:trHeight w:hRule="exact" w:val="269"/>
          <w:jc w:val="center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Умеренная, 2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2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6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16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100</w:t>
            </w:r>
          </w:p>
        </w:tc>
      </w:tr>
      <w:tr w:rsidR="007F11D8">
        <w:trPr>
          <w:trHeight w:hRule="exact" w:val="274"/>
          <w:jc w:val="center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Средняя, 3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9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24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45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150</w:t>
            </w:r>
          </w:p>
        </w:tc>
      </w:tr>
      <w:tr w:rsidR="007F11D8">
        <w:trPr>
          <w:trHeight w:hRule="exact" w:val="274"/>
          <w:jc w:val="center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Высокая, 5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5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15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40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75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250</w:t>
            </w:r>
          </w:p>
        </w:tc>
      </w:tr>
      <w:tr w:rsidR="007F11D8">
        <w:trPr>
          <w:trHeight w:hRule="exact" w:val="322"/>
          <w:jc w:val="center"/>
        </w:trPr>
        <w:tc>
          <w:tcPr>
            <w:tcW w:w="2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Очень высокая, 10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30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80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150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500</w:t>
            </w:r>
          </w:p>
        </w:tc>
      </w:tr>
    </w:tbl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tbl>
      <w:tblPr>
        <w:tblW w:w="563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3678"/>
        <w:gridCol w:w="1013"/>
      </w:tblGrid>
      <w:tr w:rsidR="007F11D8">
        <w:trPr>
          <w:trHeight w:hRule="exact" w:val="278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№ п.п.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Класс УТ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  <w:lang w:val="en-US"/>
              </w:rPr>
              <w:t>R</w:t>
            </w:r>
            <w:r>
              <w:rPr>
                <w:rStyle w:val="11pt"/>
              </w:rPr>
              <w:t>-СОУТ</w:t>
            </w:r>
          </w:p>
        </w:tc>
      </w:tr>
      <w:tr w:rsidR="007F11D8">
        <w:trPr>
          <w:trHeight w:hRule="exact" w:val="27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1-2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</w:t>
            </w:r>
          </w:p>
        </w:tc>
      </w:tr>
      <w:tr w:rsidR="007F11D8">
        <w:trPr>
          <w:trHeight w:hRule="exact" w:val="27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2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3.1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6</w:t>
            </w:r>
          </w:p>
        </w:tc>
      </w:tr>
      <w:tr w:rsidR="007F11D8">
        <w:trPr>
          <w:trHeight w:hRule="exact" w:val="27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3.2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12</w:t>
            </w:r>
          </w:p>
        </w:tc>
      </w:tr>
      <w:tr w:rsidR="007F11D8">
        <w:trPr>
          <w:trHeight w:hRule="exact" w:val="27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3.3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18</w:t>
            </w:r>
          </w:p>
        </w:tc>
      </w:tr>
      <w:tr w:rsidR="007F11D8">
        <w:trPr>
          <w:trHeight w:hRule="exact" w:val="27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5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3.4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25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6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250</w:t>
            </w:r>
          </w:p>
        </w:tc>
      </w:tr>
    </w:tbl>
    <w:p w:rsidR="007F11D8" w:rsidRDefault="007F11D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tbl>
      <w:tblPr>
        <w:tblW w:w="75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4678"/>
        <w:gridCol w:w="1903"/>
      </w:tblGrid>
      <w:tr w:rsidR="007F11D8">
        <w:trPr>
          <w:trHeight w:hRule="exact" w:val="283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№ п.п.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Категория риска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7F11D8">
            <w:pPr>
              <w:widowControl w:val="0"/>
              <w:rPr>
                <w:sz w:val="10"/>
                <w:szCs w:val="10"/>
              </w:rPr>
            </w:pPr>
          </w:p>
        </w:tc>
      </w:tr>
      <w:tr w:rsidR="007F11D8">
        <w:trPr>
          <w:trHeight w:hRule="exact" w:val="278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малозначительный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&lt;6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приемлемый (управляемый)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&lt;12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серьезный (контролируемый)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&lt;18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высокий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&lt;25</w:t>
            </w:r>
          </w:p>
        </w:tc>
      </w:tr>
      <w:tr w:rsidR="007F11D8">
        <w:trPr>
          <w:trHeight w:hRule="exact" w:val="278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очень высокий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&lt;250</w:t>
            </w:r>
          </w:p>
        </w:tc>
      </w:tr>
      <w:tr w:rsidR="007F11D8">
        <w:trPr>
          <w:trHeight w:hRule="exact" w:val="288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катастрофический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11D8" w:rsidRDefault="008D2088">
            <w:pPr>
              <w:pStyle w:val="31"/>
              <w:shd w:val="clear" w:color="auto" w:fill="auto"/>
              <w:spacing w:before="0" w:after="0" w:line="220" w:lineRule="exact"/>
            </w:pPr>
            <w:r>
              <w:rPr>
                <w:rStyle w:val="11pt"/>
              </w:rPr>
              <w:t>250 и выше</w:t>
            </w:r>
          </w:p>
        </w:tc>
      </w:tr>
    </w:tbl>
    <w:p w:rsidR="00BE71DD" w:rsidRDefault="00BE71DD" w:rsidP="0034579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E71DD" w:rsidRDefault="00BE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D8" w:rsidRDefault="008D2088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1"/>
      <w:bookmarkEnd w:id="0"/>
      <w:r>
        <w:rPr>
          <w:rFonts w:ascii="Times New Roman" w:hAnsi="Times New Roman" w:cs="Times New Roman"/>
          <w:sz w:val="20"/>
        </w:rPr>
        <w:t>С результатами идентификации опасностей и оценки уровней профессиональных рисков ознакомле</w:t>
      </w:r>
      <w:proofErr w:type="gramStart"/>
      <w:r>
        <w:rPr>
          <w:rFonts w:ascii="Times New Roman" w:hAnsi="Times New Roman" w:cs="Times New Roman"/>
          <w:sz w:val="20"/>
        </w:rPr>
        <w:t>н(</w:t>
      </w:r>
      <w:proofErr w:type="gramEnd"/>
      <w:r>
        <w:rPr>
          <w:rFonts w:ascii="Times New Roman" w:hAnsi="Times New Roman" w:cs="Times New Roman"/>
          <w:sz w:val="20"/>
        </w:rPr>
        <w:t>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0"/>
        <w:gridCol w:w="284"/>
        <w:gridCol w:w="5384"/>
        <w:gridCol w:w="286"/>
        <w:gridCol w:w="1613"/>
      </w:tblGrid>
      <w:tr w:rsidR="007F11D8">
        <w:trPr>
          <w:trHeight w:val="284"/>
          <w:jc w:val="center"/>
        </w:trPr>
        <w:tc>
          <w:tcPr>
            <w:tcW w:w="2750" w:type="dxa"/>
            <w:tcBorders>
              <w:bottom w:val="single" w:sz="4" w:space="0" w:color="000000"/>
            </w:tcBorders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  <w:bookmarkStart w:id="1" w:name="fio_rabs"/>
            <w:bookmarkEnd w:id="1"/>
          </w:p>
        </w:tc>
        <w:tc>
          <w:tcPr>
            <w:tcW w:w="5384" w:type="dxa"/>
            <w:tcBorders>
              <w:bottom w:val="single" w:sz="4" w:space="0" w:color="000000"/>
            </w:tcBorders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3" w:type="dxa"/>
            <w:tcBorders>
              <w:bottom w:val="single" w:sz="4" w:space="0" w:color="000000"/>
            </w:tcBorders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bookmarkStart w:id="2" w:name="s070_3"/>
            <w:bookmarkEnd w:id="2"/>
            <w:r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5384" w:type="dxa"/>
            <w:tcBorders>
              <w:top w:val="single" w:sz="4" w:space="0" w:color="000000"/>
            </w:tcBorders>
            <w:vAlign w:val="center"/>
          </w:tcPr>
          <w:p w:rsidR="007F11D8" w:rsidRDefault="008D2088">
            <w:pPr>
              <w:pStyle w:val="afd"/>
              <w:widowControl w:val="0"/>
              <w:rPr>
                <w:b/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6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(дата)</w:t>
            </w:r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5384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6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(дата)</w:t>
            </w:r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5384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6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(дата)</w:t>
            </w:r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5384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6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(дата)</w:t>
            </w:r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5384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6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(дата)</w:t>
            </w:r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F11D8" w:rsidRDefault="007F11D8">
            <w:pPr>
              <w:pStyle w:val="afd"/>
              <w:widowControl w:val="0"/>
              <w:rPr>
                <w:b/>
                <w:bCs/>
                <w:sz w:val="28"/>
                <w:szCs w:val="28"/>
              </w:rPr>
            </w:pPr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5384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6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(дата)</w:t>
            </w:r>
          </w:p>
          <w:p w:rsidR="0034579D" w:rsidRDefault="0034579D">
            <w:pPr>
              <w:pStyle w:val="afd"/>
              <w:widowControl w:val="0"/>
              <w:rPr>
                <w:vertAlign w:val="superscript"/>
              </w:rPr>
            </w:pPr>
          </w:p>
          <w:p w:rsidR="0034579D" w:rsidRDefault="0034579D">
            <w:pPr>
              <w:pStyle w:val="afd"/>
              <w:widowControl w:val="0"/>
              <w:rPr>
                <w:vertAlign w:val="superscript"/>
              </w:rPr>
            </w:pPr>
            <w:bookmarkStart w:id="3" w:name="_GoBack"/>
            <w:bookmarkEnd w:id="3"/>
          </w:p>
        </w:tc>
      </w:tr>
      <w:tr w:rsidR="007F11D8">
        <w:trPr>
          <w:trHeight w:val="284"/>
          <w:jc w:val="center"/>
        </w:trPr>
        <w:tc>
          <w:tcPr>
            <w:tcW w:w="2750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5384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(Ф.И.О. работника)</w:t>
            </w:r>
          </w:p>
        </w:tc>
        <w:tc>
          <w:tcPr>
            <w:tcW w:w="286" w:type="dxa"/>
          </w:tcPr>
          <w:p w:rsidR="007F11D8" w:rsidRDefault="007F11D8">
            <w:pPr>
              <w:pStyle w:val="afd"/>
              <w:widowControl w:val="0"/>
              <w:rPr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000000"/>
            </w:tcBorders>
          </w:tcPr>
          <w:p w:rsidR="007F11D8" w:rsidRDefault="008D2088">
            <w:pPr>
              <w:pStyle w:val="afd"/>
              <w:widowControl w:val="0"/>
              <w:rPr>
                <w:vertAlign w:val="superscript"/>
              </w:rPr>
            </w:pPr>
            <w:r>
              <w:rPr>
                <w:vertAlign w:val="superscript"/>
              </w:rPr>
              <w:t>(дата)</w:t>
            </w:r>
          </w:p>
        </w:tc>
      </w:tr>
    </w:tbl>
    <w:p w:rsidR="007F11D8" w:rsidRDefault="007F11D8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F11D8" w:rsidSect="000D57B0">
      <w:headerReference w:type="default" r:id="rId9"/>
      <w:footerReference w:type="default" r:id="rId10"/>
      <w:pgSz w:w="11906" w:h="16838"/>
      <w:pgMar w:top="567" w:right="851" w:bottom="851" w:left="851" w:header="426" w:footer="709" w:gutter="0"/>
      <w:pgNumType w:start="1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F75" w:rsidRDefault="009B2F75">
      <w:pPr>
        <w:spacing w:after="0" w:line="240" w:lineRule="auto"/>
      </w:pPr>
      <w:r>
        <w:separator/>
      </w:r>
    </w:p>
  </w:endnote>
  <w:endnote w:type="continuationSeparator" w:id="0">
    <w:p w:rsidR="009B2F75" w:rsidRDefault="009B2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, sans-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4791"/>
      <w:gridCol w:w="842"/>
      <w:gridCol w:w="4787"/>
    </w:tblGrid>
    <w:tr w:rsidR="007F11D8">
      <w:tc>
        <w:tcPr>
          <w:tcW w:w="4691" w:type="dxa"/>
          <w:shd w:val="clear" w:color="auto" w:fill="auto"/>
        </w:tcPr>
        <w:p w:rsidR="007F11D8" w:rsidRDefault="007F11D8">
          <w:pPr>
            <w:widowControl w:val="0"/>
            <w:rPr>
              <w:sz w:val="20"/>
              <w:szCs w:val="20"/>
            </w:rPr>
          </w:pPr>
        </w:p>
      </w:tc>
      <w:tc>
        <w:tcPr>
          <w:tcW w:w="825" w:type="dxa"/>
          <w:shd w:val="clear" w:color="auto" w:fill="auto"/>
        </w:tcPr>
        <w:p w:rsidR="007F11D8" w:rsidRDefault="007F11D8">
          <w:pPr>
            <w:widowControl w:val="0"/>
            <w:jc w:val="center"/>
            <w:rPr>
              <w:sz w:val="20"/>
              <w:szCs w:val="20"/>
            </w:rPr>
          </w:pPr>
        </w:p>
      </w:tc>
      <w:tc>
        <w:tcPr>
          <w:tcW w:w="4688" w:type="dxa"/>
          <w:shd w:val="clear" w:color="auto" w:fill="auto"/>
        </w:tcPr>
        <w:p w:rsidR="007F11D8" w:rsidRDefault="007F11D8">
          <w:pPr>
            <w:pStyle w:val="afa"/>
            <w:widowControl w:val="0"/>
            <w:jc w:val="right"/>
            <w:rPr>
              <w:sz w:val="20"/>
              <w:szCs w:val="20"/>
              <w:lang w:val="en-US"/>
            </w:rPr>
          </w:pPr>
        </w:p>
      </w:tc>
    </w:tr>
  </w:tbl>
  <w:p w:rsidR="007F11D8" w:rsidRDefault="007F11D8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F75" w:rsidRDefault="009B2F75">
      <w:pPr>
        <w:spacing w:after="0" w:line="240" w:lineRule="auto"/>
      </w:pPr>
      <w:r>
        <w:separator/>
      </w:r>
    </w:p>
  </w:footnote>
  <w:footnote w:type="continuationSeparator" w:id="0">
    <w:p w:rsidR="009B2F75" w:rsidRDefault="009B2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1D8" w:rsidRDefault="007F11D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22284"/>
    <w:multiLevelType w:val="multilevel"/>
    <w:tmpl w:val="A0F8C1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CA5093"/>
    <w:multiLevelType w:val="multilevel"/>
    <w:tmpl w:val="AE9622C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0986816"/>
    <w:multiLevelType w:val="multilevel"/>
    <w:tmpl w:val="E16C76AE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">
    <w:nsid w:val="43EA3B7D"/>
    <w:multiLevelType w:val="multilevel"/>
    <w:tmpl w:val="E17033B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7"/>
        <w:szCs w:val="27"/>
        <w:u w:val="none"/>
        <w:lang w:val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1D8"/>
    <w:rsid w:val="00012E9E"/>
    <w:rsid w:val="000D57B0"/>
    <w:rsid w:val="000F6B27"/>
    <w:rsid w:val="00173F4E"/>
    <w:rsid w:val="0034579D"/>
    <w:rsid w:val="003C3772"/>
    <w:rsid w:val="00477453"/>
    <w:rsid w:val="00534AF6"/>
    <w:rsid w:val="005C5359"/>
    <w:rsid w:val="007F11D8"/>
    <w:rsid w:val="00822BC2"/>
    <w:rsid w:val="00831ECF"/>
    <w:rsid w:val="00852CD7"/>
    <w:rsid w:val="008D2088"/>
    <w:rsid w:val="008F1282"/>
    <w:rsid w:val="009B2F75"/>
    <w:rsid w:val="00B4390B"/>
    <w:rsid w:val="00BE71DD"/>
    <w:rsid w:val="00EF2CA2"/>
    <w:rsid w:val="00FD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7B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3270FC"/>
    <w:pPr>
      <w:widowControl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0E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7C0E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270F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qFormat/>
    <w:rsid w:val="003270F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qFormat/>
    <w:rsid w:val="003270FC"/>
    <w:rPr>
      <w:rFonts w:cs="Times New Roman"/>
      <w:b w:val="0"/>
      <w:color w:val="106BBE"/>
    </w:rPr>
  </w:style>
  <w:style w:type="character" w:customStyle="1" w:styleId="a5">
    <w:name w:val="Текст выноски Знак"/>
    <w:basedOn w:val="a0"/>
    <w:uiPriority w:val="99"/>
    <w:semiHidden/>
    <w:qFormat/>
    <w:rsid w:val="003270F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A34782"/>
    <w:rPr>
      <w:b/>
      <w:bCs/>
    </w:rPr>
  </w:style>
  <w:style w:type="character" w:customStyle="1" w:styleId="-">
    <w:name w:val="Интернет-ссылка"/>
    <w:basedOn w:val="a0"/>
    <w:uiPriority w:val="99"/>
    <w:semiHidden/>
    <w:unhideWhenUsed/>
    <w:rsid w:val="00085977"/>
    <w:rPr>
      <w:strike w:val="0"/>
      <w:dstrike w:val="0"/>
      <w:color w:val="CC0000"/>
      <w:u w:val="none"/>
      <w:effect w:val="none"/>
      <w:shd w:val="clear" w:color="auto" w:fill="auto"/>
    </w:rPr>
  </w:style>
  <w:style w:type="character" w:customStyle="1" w:styleId="category-name6">
    <w:name w:val="category-name6"/>
    <w:basedOn w:val="a0"/>
    <w:qFormat/>
    <w:rsid w:val="00085977"/>
  </w:style>
  <w:style w:type="character" w:customStyle="1" w:styleId="a7">
    <w:name w:val="Верхний колонтитул Знак"/>
    <w:basedOn w:val="a0"/>
    <w:uiPriority w:val="99"/>
    <w:qFormat/>
    <w:rsid w:val="00AE1065"/>
  </w:style>
  <w:style w:type="character" w:customStyle="1" w:styleId="a8">
    <w:name w:val="Нижний колонтитул Знак"/>
    <w:basedOn w:val="a0"/>
    <w:uiPriority w:val="99"/>
    <w:qFormat/>
    <w:rsid w:val="00AE1065"/>
  </w:style>
  <w:style w:type="character" w:customStyle="1" w:styleId="match">
    <w:name w:val="match"/>
    <w:basedOn w:val="a0"/>
    <w:qFormat/>
    <w:rsid w:val="00822FAF"/>
  </w:style>
  <w:style w:type="character" w:customStyle="1" w:styleId="a9">
    <w:name w:val="Поле"/>
    <w:basedOn w:val="a0"/>
    <w:qFormat/>
    <w:rsid w:val="0021634B"/>
    <w:rPr>
      <w:rFonts w:ascii="Times New Roman" w:hAnsi="Times New Roman"/>
      <w:sz w:val="24"/>
      <w:u w:val="single"/>
    </w:rPr>
  </w:style>
  <w:style w:type="character" w:customStyle="1" w:styleId="aa">
    <w:name w:val="Раздел Знак"/>
    <w:qFormat/>
    <w:rsid w:val="00A81073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C0E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ab"/>
    <w:uiPriority w:val="9"/>
    <w:semiHidden/>
    <w:qFormat/>
    <w:rsid w:val="007C0E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upper">
    <w:name w:val="upper"/>
    <w:qFormat/>
    <w:rsid w:val="00B77A1F"/>
  </w:style>
  <w:style w:type="character" w:customStyle="1" w:styleId="ac">
    <w:name w:val="Текст Знак"/>
    <w:basedOn w:val="a0"/>
    <w:qFormat/>
    <w:rsid w:val="00CF6F63"/>
    <w:rPr>
      <w:rFonts w:ascii="Times New Roman" w:eastAsia="Times New Roman" w:hAnsi="Times New Roman" w:cs="Times New Roman"/>
      <w:sz w:val="26"/>
      <w:szCs w:val="20"/>
    </w:rPr>
  </w:style>
  <w:style w:type="character" w:customStyle="1" w:styleId="ab">
    <w:name w:val="Основной текст_"/>
    <w:basedOn w:val="a0"/>
    <w:link w:val="30"/>
    <w:qFormat/>
    <w:rsid w:val="002F4A3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pt">
    <w:name w:val="Основной текст + 11 pt"/>
    <w:basedOn w:val="ab"/>
    <w:qFormat/>
    <w:rsid w:val="002F4A38"/>
    <w:rPr>
      <w:rFonts w:ascii="Times New Roman" w:eastAsia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ru-RU"/>
    </w:rPr>
  </w:style>
  <w:style w:type="character" w:customStyle="1" w:styleId="21">
    <w:name w:val="Подпись к таблице (2)_"/>
    <w:basedOn w:val="a0"/>
    <w:qFormat/>
    <w:rsid w:val="002F4A3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7"/>
      <w:szCs w:val="27"/>
      <w:u w:val="none"/>
    </w:rPr>
  </w:style>
  <w:style w:type="character" w:customStyle="1" w:styleId="22">
    <w:name w:val="Подпись к таблице (2)"/>
    <w:basedOn w:val="21"/>
    <w:qFormat/>
    <w:rsid w:val="002F4A3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single"/>
      <w:lang w:val="ru-RU"/>
    </w:rPr>
  </w:style>
  <w:style w:type="character" w:styleId="ad">
    <w:name w:val="page number"/>
    <w:qFormat/>
    <w:rsid w:val="000D57B0"/>
  </w:style>
  <w:style w:type="paragraph" w:customStyle="1" w:styleId="ae">
    <w:name w:val="Заголовок"/>
    <w:basedOn w:val="a"/>
    <w:next w:val="af"/>
    <w:qFormat/>
    <w:rsid w:val="000D57B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a"/>
    <w:rsid w:val="000D57B0"/>
    <w:pPr>
      <w:spacing w:after="140"/>
    </w:pPr>
  </w:style>
  <w:style w:type="paragraph" w:styleId="af0">
    <w:name w:val="List"/>
    <w:basedOn w:val="af"/>
    <w:rsid w:val="000D57B0"/>
    <w:rPr>
      <w:rFonts w:cs="Mangal"/>
    </w:rPr>
  </w:style>
  <w:style w:type="paragraph" w:styleId="af1">
    <w:name w:val="caption"/>
    <w:basedOn w:val="a"/>
    <w:qFormat/>
    <w:rsid w:val="000D57B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qFormat/>
    <w:rsid w:val="000D57B0"/>
    <w:pPr>
      <w:suppressLineNumbers/>
    </w:pPr>
    <w:rPr>
      <w:rFonts w:cs="Mangal"/>
    </w:rPr>
  </w:style>
  <w:style w:type="paragraph" w:customStyle="1" w:styleId="Default">
    <w:name w:val="Default"/>
    <w:qFormat/>
    <w:rsid w:val="00B11CC2"/>
    <w:rPr>
      <w:rFonts w:ascii="Arial" w:eastAsia="Calibri" w:hAnsi="Arial" w:cs="Arial"/>
      <w:color w:val="000000"/>
      <w:sz w:val="24"/>
      <w:szCs w:val="24"/>
    </w:rPr>
  </w:style>
  <w:style w:type="paragraph" w:customStyle="1" w:styleId="af3">
    <w:name w:val="Нормальный (таблица)"/>
    <w:basedOn w:val="a"/>
    <w:next w:val="a"/>
    <w:uiPriority w:val="99"/>
    <w:qFormat/>
    <w:rsid w:val="003270FC"/>
    <w:pPr>
      <w:widowControl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qFormat/>
    <w:rsid w:val="003270FC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4">
    <w:name w:val="Balloon Text"/>
    <w:basedOn w:val="a"/>
    <w:uiPriority w:val="99"/>
    <w:semiHidden/>
    <w:unhideWhenUsed/>
    <w:qFormat/>
    <w:rsid w:val="003270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TEXT">
    <w:name w:val=".HEADERTEXT"/>
    <w:uiPriority w:val="99"/>
    <w:qFormat/>
    <w:rsid w:val="0066525F"/>
    <w:pPr>
      <w:widowControl w:val="0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f5">
    <w:name w:val="Normal (Web)"/>
    <w:basedOn w:val="a"/>
    <w:uiPriority w:val="99"/>
    <w:unhideWhenUsed/>
    <w:qFormat/>
    <w:rsid w:val="0066525F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RIZLINE">
    <w:name w:val=".HORIZLINE"/>
    <w:uiPriority w:val="99"/>
    <w:qFormat/>
    <w:rsid w:val="007F0441"/>
    <w:pPr>
      <w:widowControl w:val="0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98066A"/>
    <w:pPr>
      <w:ind w:left="720"/>
      <w:contextualSpacing/>
    </w:pPr>
  </w:style>
  <w:style w:type="paragraph" w:customStyle="1" w:styleId="af7">
    <w:name w:val="Колонтитул"/>
    <w:basedOn w:val="a"/>
    <w:qFormat/>
    <w:rsid w:val="000D57B0"/>
  </w:style>
  <w:style w:type="paragraph" w:customStyle="1" w:styleId="af8">
    <w:name w:val="Верхний и нижний колонтитулы"/>
    <w:basedOn w:val="a"/>
    <w:qFormat/>
    <w:rsid w:val="000D57B0"/>
  </w:style>
  <w:style w:type="paragraph" w:styleId="af9">
    <w:name w:val="header"/>
    <w:basedOn w:val="a"/>
    <w:uiPriority w:val="99"/>
    <w:unhideWhenUsed/>
    <w:rsid w:val="00AE1065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footer"/>
    <w:basedOn w:val="a"/>
    <w:uiPriority w:val="99"/>
    <w:unhideWhenUsed/>
    <w:rsid w:val="00AE106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headertext0">
    <w:name w:val="headertext"/>
    <w:basedOn w:val="a"/>
    <w:qFormat/>
    <w:rsid w:val="00822FA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Раздел"/>
    <w:basedOn w:val="a"/>
    <w:qFormat/>
    <w:rsid w:val="00A81073"/>
    <w:pPr>
      <w:spacing w:before="60"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formattext0">
    <w:name w:val="formattext"/>
    <w:basedOn w:val="a"/>
    <w:qFormat/>
    <w:rsid w:val="00004A6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Plain Text"/>
    <w:basedOn w:val="a"/>
    <w:qFormat/>
    <w:rsid w:val="00CF6F6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qFormat/>
    <w:rsid w:val="00273A60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fd">
    <w:name w:val="Табличный"/>
    <w:basedOn w:val="a"/>
    <w:qFormat/>
    <w:rsid w:val="0097022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3"/>
    <w:basedOn w:val="a"/>
    <w:qFormat/>
    <w:rsid w:val="002F4A38"/>
    <w:pPr>
      <w:widowControl w:val="0"/>
      <w:shd w:val="clear" w:color="auto" w:fill="FFFFFF"/>
      <w:suppressAutoHyphens w:val="0"/>
      <w:spacing w:before="4080" w:after="1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table" w:styleId="afe">
    <w:name w:val="Table Grid"/>
    <w:basedOn w:val="a1"/>
    <w:rsid w:val="00221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3270FC"/>
    <w:pPr>
      <w:widowControl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0E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7C0E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270F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qFormat/>
    <w:rsid w:val="003270F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qFormat/>
    <w:rsid w:val="003270FC"/>
    <w:rPr>
      <w:rFonts w:cs="Times New Roman"/>
      <w:b w:val="0"/>
      <w:color w:val="106BBE"/>
    </w:rPr>
  </w:style>
  <w:style w:type="character" w:customStyle="1" w:styleId="a5">
    <w:name w:val="Текст выноски Знак"/>
    <w:basedOn w:val="a0"/>
    <w:uiPriority w:val="99"/>
    <w:semiHidden/>
    <w:qFormat/>
    <w:rsid w:val="003270FC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A34782"/>
    <w:rPr>
      <w:b/>
      <w:bCs/>
    </w:rPr>
  </w:style>
  <w:style w:type="character" w:customStyle="1" w:styleId="-">
    <w:name w:val="Интернет-ссылка"/>
    <w:basedOn w:val="a0"/>
    <w:uiPriority w:val="99"/>
    <w:semiHidden/>
    <w:unhideWhenUsed/>
    <w:rsid w:val="00085977"/>
    <w:rPr>
      <w:strike w:val="0"/>
      <w:dstrike w:val="0"/>
      <w:color w:val="CC0000"/>
      <w:u w:val="none"/>
      <w:effect w:val="none"/>
      <w:shd w:val="clear" w:color="auto" w:fill="auto"/>
    </w:rPr>
  </w:style>
  <w:style w:type="character" w:customStyle="1" w:styleId="category-name6">
    <w:name w:val="category-name6"/>
    <w:basedOn w:val="a0"/>
    <w:qFormat/>
    <w:rsid w:val="00085977"/>
  </w:style>
  <w:style w:type="character" w:customStyle="1" w:styleId="a7">
    <w:name w:val="Верхний колонтитул Знак"/>
    <w:basedOn w:val="a0"/>
    <w:uiPriority w:val="99"/>
    <w:qFormat/>
    <w:rsid w:val="00AE1065"/>
  </w:style>
  <w:style w:type="character" w:customStyle="1" w:styleId="a8">
    <w:name w:val="Нижний колонтитул Знак"/>
    <w:basedOn w:val="a0"/>
    <w:uiPriority w:val="99"/>
    <w:qFormat/>
    <w:rsid w:val="00AE1065"/>
  </w:style>
  <w:style w:type="character" w:customStyle="1" w:styleId="match">
    <w:name w:val="match"/>
    <w:basedOn w:val="a0"/>
    <w:qFormat/>
    <w:rsid w:val="00822FAF"/>
  </w:style>
  <w:style w:type="character" w:customStyle="1" w:styleId="a9">
    <w:name w:val="Поле"/>
    <w:basedOn w:val="a0"/>
    <w:qFormat/>
    <w:rsid w:val="0021634B"/>
    <w:rPr>
      <w:rFonts w:ascii="Times New Roman" w:hAnsi="Times New Roman"/>
      <w:sz w:val="24"/>
      <w:u w:val="single"/>
    </w:rPr>
  </w:style>
  <w:style w:type="character" w:customStyle="1" w:styleId="aa">
    <w:name w:val="Раздел Знак"/>
    <w:qFormat/>
    <w:rsid w:val="00A81073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C0E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ab"/>
    <w:uiPriority w:val="9"/>
    <w:semiHidden/>
    <w:qFormat/>
    <w:rsid w:val="007C0E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upper">
    <w:name w:val="upper"/>
    <w:qFormat/>
    <w:rsid w:val="00B77A1F"/>
  </w:style>
  <w:style w:type="character" w:customStyle="1" w:styleId="ac">
    <w:name w:val="Текст Знак"/>
    <w:basedOn w:val="a0"/>
    <w:qFormat/>
    <w:rsid w:val="00CF6F63"/>
    <w:rPr>
      <w:rFonts w:ascii="Times New Roman" w:eastAsia="Times New Roman" w:hAnsi="Times New Roman" w:cs="Times New Roman"/>
      <w:sz w:val="26"/>
      <w:szCs w:val="20"/>
    </w:rPr>
  </w:style>
  <w:style w:type="character" w:customStyle="1" w:styleId="ab">
    <w:name w:val="Основной текст_"/>
    <w:basedOn w:val="a0"/>
    <w:link w:val="30"/>
    <w:qFormat/>
    <w:rsid w:val="002F4A3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pt">
    <w:name w:val="Основной текст + 11 pt"/>
    <w:basedOn w:val="ab"/>
    <w:qFormat/>
    <w:rsid w:val="002F4A38"/>
    <w:rPr>
      <w:rFonts w:ascii="Times New Roman" w:eastAsia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ru-RU"/>
    </w:rPr>
  </w:style>
  <w:style w:type="character" w:customStyle="1" w:styleId="21">
    <w:name w:val="Подпись к таблице (2)_"/>
    <w:basedOn w:val="a0"/>
    <w:qFormat/>
    <w:rsid w:val="002F4A3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7"/>
      <w:szCs w:val="27"/>
      <w:u w:val="none"/>
    </w:rPr>
  </w:style>
  <w:style w:type="character" w:customStyle="1" w:styleId="22">
    <w:name w:val="Подпись к таблице (2)"/>
    <w:basedOn w:val="21"/>
    <w:qFormat/>
    <w:rsid w:val="002F4A3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single"/>
      <w:lang w:val="ru-RU"/>
    </w:rPr>
  </w:style>
  <w:style w:type="character" w:styleId="ad">
    <w:name w:val="page number"/>
    <w:qFormat/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a"/>
    <w:pPr>
      <w:spacing w:after="140"/>
    </w:pPr>
  </w:style>
  <w:style w:type="paragraph" w:styleId="af0">
    <w:name w:val="List"/>
    <w:basedOn w:val="af"/>
    <w:rPr>
      <w:rFonts w:cs="Mang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B11CC2"/>
    <w:rPr>
      <w:rFonts w:ascii="Arial" w:eastAsia="Calibri" w:hAnsi="Arial" w:cs="Arial"/>
      <w:color w:val="000000"/>
      <w:sz w:val="24"/>
      <w:szCs w:val="24"/>
    </w:rPr>
  </w:style>
  <w:style w:type="paragraph" w:customStyle="1" w:styleId="af3">
    <w:name w:val="Нормальный (таблица)"/>
    <w:basedOn w:val="a"/>
    <w:next w:val="a"/>
    <w:uiPriority w:val="99"/>
    <w:qFormat/>
    <w:rsid w:val="003270FC"/>
    <w:pPr>
      <w:widowControl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FORMATTEXT">
    <w:name w:val=".FORMATTEXT"/>
    <w:uiPriority w:val="99"/>
    <w:qFormat/>
    <w:rsid w:val="003270FC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4">
    <w:name w:val="Balloon Text"/>
    <w:basedOn w:val="a"/>
    <w:uiPriority w:val="99"/>
    <w:semiHidden/>
    <w:unhideWhenUsed/>
    <w:qFormat/>
    <w:rsid w:val="003270F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TEXT">
    <w:name w:val=".HEADERTEXT"/>
    <w:uiPriority w:val="99"/>
    <w:qFormat/>
    <w:rsid w:val="0066525F"/>
    <w:pPr>
      <w:widowControl w:val="0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f5">
    <w:name w:val="Normal (Web)"/>
    <w:basedOn w:val="a"/>
    <w:uiPriority w:val="99"/>
    <w:unhideWhenUsed/>
    <w:qFormat/>
    <w:rsid w:val="0066525F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RIZLINE">
    <w:name w:val=".HORIZLINE"/>
    <w:uiPriority w:val="99"/>
    <w:qFormat/>
    <w:rsid w:val="007F0441"/>
    <w:pPr>
      <w:widowControl w:val="0"/>
    </w:pPr>
    <w:rPr>
      <w:rFonts w:ascii="Arial, sans-serif" w:eastAsiaTheme="minorEastAsia" w:hAnsi="Arial, sans-serif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98066A"/>
    <w:pPr>
      <w:ind w:left="720"/>
      <w:contextualSpacing/>
    </w:pPr>
  </w:style>
  <w:style w:type="paragraph" w:customStyle="1" w:styleId="af7">
    <w:name w:val="Колонтитул"/>
    <w:basedOn w:val="a"/>
    <w:qFormat/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uiPriority w:val="99"/>
    <w:unhideWhenUsed/>
    <w:rsid w:val="00AE1065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footer"/>
    <w:basedOn w:val="a"/>
    <w:uiPriority w:val="99"/>
    <w:unhideWhenUsed/>
    <w:rsid w:val="00AE106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headertext0">
    <w:name w:val="headertext"/>
    <w:basedOn w:val="a"/>
    <w:qFormat/>
    <w:rsid w:val="00822FA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Раздел"/>
    <w:basedOn w:val="a"/>
    <w:qFormat/>
    <w:rsid w:val="00A81073"/>
    <w:pPr>
      <w:spacing w:before="60"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customStyle="1" w:styleId="formattext0">
    <w:name w:val="formattext"/>
    <w:basedOn w:val="a"/>
    <w:qFormat/>
    <w:rsid w:val="00004A6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Plain Text"/>
    <w:basedOn w:val="a"/>
    <w:qFormat/>
    <w:rsid w:val="00CF6F63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qFormat/>
    <w:rsid w:val="00273A60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fd">
    <w:name w:val="Табличный"/>
    <w:basedOn w:val="a"/>
    <w:qFormat/>
    <w:rsid w:val="0097022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Основной текст3"/>
    <w:basedOn w:val="a"/>
    <w:qFormat/>
    <w:rsid w:val="002F4A38"/>
    <w:pPr>
      <w:widowControl w:val="0"/>
      <w:shd w:val="clear" w:color="auto" w:fill="FFFFFF"/>
      <w:suppressAutoHyphens w:val="0"/>
      <w:spacing w:before="4080" w:after="1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table" w:styleId="afe">
    <w:name w:val="Table Grid"/>
    <w:basedOn w:val="a1"/>
    <w:rsid w:val="00221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19199-D841-479A-A364-00688523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981</Words>
  <Characters>5597</Characters>
  <Application>Microsoft Office Word</Application>
  <DocSecurity>0</DocSecurity>
  <Lines>46</Lines>
  <Paragraphs>13</Paragraphs>
  <ScaleCrop>false</ScaleCrop>
  <Company>vesco</Company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А. Больцова</dc:creator>
  <dc:description/>
  <cp:lastModifiedBy>PHUGL</cp:lastModifiedBy>
  <cp:revision>21</cp:revision>
  <cp:lastPrinted>2023-01-20T03:37:00Z</cp:lastPrinted>
  <dcterms:created xsi:type="dcterms:W3CDTF">2022-03-29T10:39:00Z</dcterms:created>
  <dcterms:modified xsi:type="dcterms:W3CDTF">2023-01-20T03:41:00Z</dcterms:modified>
  <dc:language>ru-RU</dc:language>
</cp:coreProperties>
</file>