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81D0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36"/>
          <w:szCs w:val="36"/>
        </w:rPr>
      </w:pPr>
    </w:p>
    <w:p w:rsidR="00581D0D" w:rsidRPr="00487736" w:rsidRDefault="00CD2CC9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</w:t>
      </w:r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13D4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024C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581D0D" w:rsidRPr="00487736" w:rsidRDefault="00581D0D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81D0D" w:rsidRDefault="006D024C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00.00.2024</w:t>
      </w:r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</w:t>
      </w:r>
      <w:r w:rsidR="0058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581D0D" w:rsidRPr="00487736" w:rsidRDefault="00581D0D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1D0D" w:rsidRPr="002E5858" w:rsidRDefault="00581D0D" w:rsidP="00581D0D">
      <w:pPr>
        <w:jc w:val="center"/>
        <w:rPr>
          <w:bCs/>
          <w:sz w:val="28"/>
          <w:szCs w:val="28"/>
        </w:rPr>
      </w:pPr>
    </w:p>
    <w:p w:rsidR="00581D0D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</w:p>
    <w:p w:rsidR="002E5858" w:rsidRPr="002E5858" w:rsidRDefault="00581D0D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="00674BB1"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581D0D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</w:t>
      </w:r>
      <w:proofErr w:type="gramEnd"/>
      <w:r w:rsidRPr="002E5858">
        <w:rPr>
          <w:bCs/>
          <w:sz w:val="28"/>
          <w:szCs w:val="28"/>
        </w:rPr>
        <w:t xml:space="preserve"> области ПОСТАНОВЛЯЕТ:</w:t>
      </w:r>
    </w:p>
    <w:p w:rsidR="00581D0D" w:rsidRDefault="00581D0D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E5858"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Pr="00A53EC4">
        <w:rPr>
          <w:bCs/>
          <w:sz w:val="28"/>
          <w:szCs w:val="28"/>
        </w:rPr>
        <w:t xml:space="preserve">в границах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</w:p>
    <w:p w:rsidR="002E5858" w:rsidRDefault="00581D0D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="002E5858"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A40BEE" w:rsidRPr="002E5858" w:rsidRDefault="00A40BEE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Отменить программу профилактики рисков причинения вреда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в границах Ивановского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</w:t>
      </w:r>
      <w:r w:rsidR="006D024C">
        <w:rPr>
          <w:bCs/>
          <w:sz w:val="28"/>
          <w:szCs w:val="28"/>
        </w:rPr>
        <w:t>го района Омской области на 2024</w:t>
      </w:r>
      <w:r>
        <w:rPr>
          <w:bCs/>
          <w:sz w:val="28"/>
          <w:szCs w:val="28"/>
        </w:rPr>
        <w:t xml:space="preserve"> год.</w:t>
      </w:r>
    </w:p>
    <w:p w:rsidR="00581D0D" w:rsidRDefault="00A40BEE" w:rsidP="00A40BEE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</w:t>
      </w:r>
      <w:r w:rsidR="00581D0D" w:rsidRPr="002E5858">
        <w:rPr>
          <w:bCs/>
          <w:sz w:val="28"/>
          <w:szCs w:val="28"/>
        </w:rPr>
        <w:t>.</w:t>
      </w:r>
      <w:r w:rsidR="00581D0D" w:rsidRPr="002E5858">
        <w:t xml:space="preserve"> </w:t>
      </w:r>
      <w:r w:rsidR="00581D0D" w:rsidRPr="002E5858">
        <w:rPr>
          <w:bCs/>
          <w:sz w:val="28"/>
          <w:szCs w:val="28"/>
        </w:rPr>
        <w:t>Опубли</w:t>
      </w:r>
      <w:r w:rsidR="00581D0D">
        <w:rPr>
          <w:bCs/>
          <w:sz w:val="28"/>
          <w:szCs w:val="28"/>
        </w:rPr>
        <w:t xml:space="preserve">ковать настоящее постановление </w:t>
      </w:r>
      <w:r w:rsidR="00581D0D" w:rsidRPr="002B6C51">
        <w:rPr>
          <w:sz w:val="28"/>
          <w:szCs w:val="28"/>
        </w:rPr>
        <w:t>в газете «</w:t>
      </w:r>
      <w:r w:rsidR="00CD2CC9">
        <w:rPr>
          <w:sz w:val="28"/>
          <w:szCs w:val="28"/>
        </w:rPr>
        <w:t>Ивановский</w:t>
      </w:r>
      <w:r w:rsidR="00581D0D" w:rsidRPr="002B6C51">
        <w:rPr>
          <w:sz w:val="28"/>
          <w:szCs w:val="28"/>
        </w:rPr>
        <w:t xml:space="preserve"> муниципальный вестник» и размещению в информационно - телекоммуникационной сети «Интернет» на официальном сайте </w:t>
      </w:r>
      <w:r w:rsidR="00CD2CC9">
        <w:rPr>
          <w:sz w:val="28"/>
          <w:szCs w:val="28"/>
        </w:rPr>
        <w:t>Ивановского</w:t>
      </w:r>
      <w:r w:rsidR="00581D0D" w:rsidRPr="002B6C51">
        <w:rPr>
          <w:sz w:val="28"/>
          <w:szCs w:val="28"/>
        </w:rPr>
        <w:t xml:space="preserve"> сельского поселения.</w:t>
      </w:r>
    </w:p>
    <w:p w:rsidR="00581D0D" w:rsidRPr="00CD7D0A" w:rsidRDefault="00A40BEE" w:rsidP="00A40BEE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</w:t>
      </w:r>
      <w:r w:rsidR="00581D0D" w:rsidRPr="002E5858">
        <w:rPr>
          <w:bCs/>
          <w:sz w:val="28"/>
          <w:szCs w:val="28"/>
        </w:rPr>
        <w:t xml:space="preserve">. </w:t>
      </w:r>
      <w:proofErr w:type="gramStart"/>
      <w:r w:rsidR="00581D0D" w:rsidRPr="002E5858">
        <w:rPr>
          <w:bCs/>
          <w:sz w:val="28"/>
          <w:szCs w:val="28"/>
        </w:rPr>
        <w:t>Контроль за</w:t>
      </w:r>
      <w:proofErr w:type="gramEnd"/>
      <w:r w:rsidR="00581D0D"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581D0D">
        <w:rPr>
          <w:bCs/>
          <w:sz w:val="28"/>
          <w:szCs w:val="28"/>
        </w:rPr>
        <w:t>.</w:t>
      </w:r>
    </w:p>
    <w:p w:rsidR="00581D0D" w:rsidRPr="002E5858" w:rsidRDefault="00581D0D" w:rsidP="00581D0D">
      <w:pPr>
        <w:autoSpaceDE w:val="0"/>
        <w:autoSpaceDN w:val="0"/>
        <w:jc w:val="both"/>
        <w:rPr>
          <w:bCs/>
          <w:sz w:val="28"/>
          <w:szCs w:val="28"/>
        </w:rPr>
      </w:pPr>
    </w:p>
    <w:p w:rsidR="00581D0D" w:rsidRPr="00CD7D0A" w:rsidRDefault="00581D0D" w:rsidP="00581D0D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581D0D" w:rsidRPr="00CD7D0A" w:rsidRDefault="00581D0D" w:rsidP="00581D0D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</w:t>
      </w:r>
      <w:r w:rsidR="00CD2CC9">
        <w:rPr>
          <w:bCs/>
          <w:sz w:val="28"/>
          <w:szCs w:val="28"/>
        </w:rPr>
        <w:t xml:space="preserve">                               </w:t>
      </w:r>
      <w:proofErr w:type="spellStart"/>
      <w:r w:rsidR="00CD2CC9">
        <w:rPr>
          <w:bCs/>
          <w:sz w:val="28"/>
          <w:szCs w:val="28"/>
        </w:rPr>
        <w:t>М.А.Эйнбаум</w:t>
      </w:r>
      <w:proofErr w:type="spellEnd"/>
    </w:p>
    <w:p w:rsidR="00581D0D" w:rsidRPr="00CD7D0A" w:rsidRDefault="00581D0D" w:rsidP="00581D0D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E5620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1E5620">
        <w:rPr>
          <w:sz w:val="28"/>
          <w:szCs w:val="28"/>
        </w:rPr>
        <w:t xml:space="preserve"> </w:t>
      </w:r>
    </w:p>
    <w:p w:rsidR="00A54FE6" w:rsidRDefault="00CD2CC9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E5620">
        <w:rPr>
          <w:sz w:val="28"/>
          <w:szCs w:val="28"/>
        </w:rPr>
        <w:t xml:space="preserve"> сельского поселения</w:t>
      </w:r>
      <w:r w:rsidR="00A54FE6">
        <w:rPr>
          <w:sz w:val="28"/>
          <w:szCs w:val="28"/>
        </w:rPr>
        <w:t xml:space="preserve">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6D024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00.00.2024</w:t>
      </w:r>
      <w:r w:rsidR="00A54FE6"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E5620" w:rsidRDefault="00B03300" w:rsidP="001E56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 w:rsidR="001E5620">
        <w:rPr>
          <w:bCs/>
          <w:sz w:val="28"/>
          <w:szCs w:val="28"/>
        </w:rPr>
        <w:t xml:space="preserve"> сельского поселения </w:t>
      </w:r>
    </w:p>
    <w:p w:rsidR="001E5620" w:rsidRPr="002E5858" w:rsidRDefault="001E5620" w:rsidP="001E56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E5620" w:rsidRDefault="002E5858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2E5858" w:rsidRPr="009F103B" w:rsidRDefault="001E5620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Калачинского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r w:rsidRPr="00674BB1">
              <w:rPr>
                <w:bCs/>
                <w:sz w:val="28"/>
                <w:szCs w:val="28"/>
              </w:rPr>
              <w:t xml:space="preserve">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2E5858">
              <w:rPr>
                <w:bCs/>
                <w:sz w:val="28"/>
                <w:szCs w:val="28"/>
              </w:rPr>
              <w:t>202</w:t>
            </w:r>
            <w:r w:rsidR="006D024C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r w:rsidR="002E5858"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E5620" w:rsidRDefault="00C3012A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C3012A" w:rsidRPr="009F103B" w:rsidRDefault="001E5620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Калачинского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r w:rsidRPr="00674BB1">
              <w:rPr>
                <w:bCs/>
                <w:sz w:val="28"/>
                <w:szCs w:val="28"/>
              </w:rPr>
              <w:t xml:space="preserve">Омской области 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9F103B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202</w:t>
            </w:r>
            <w:r w:rsidR="006D024C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A40BEE">
              <w:rPr>
                <w:bCs/>
                <w:sz w:val="28"/>
                <w:szCs w:val="28"/>
              </w:rPr>
              <w:t xml:space="preserve">илактических </w:t>
            </w:r>
            <w:r w:rsidR="006D024C">
              <w:rPr>
                <w:bCs/>
                <w:sz w:val="28"/>
                <w:szCs w:val="28"/>
              </w:rPr>
              <w:t>мероприятий на 2025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E5620" w:rsidRPr="002E5858" w:rsidRDefault="001E5620" w:rsidP="001E562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5858"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 w:rsidR="00DB76EB">
        <w:rPr>
          <w:sz w:val="28"/>
          <w:szCs w:val="28"/>
        </w:rPr>
        <w:t xml:space="preserve">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="002E5858"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="002E5858"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2E5858"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</w:p>
    <w:p w:rsidR="00F4542F" w:rsidRPr="00580E23" w:rsidRDefault="001E5620" w:rsidP="001E5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="002E5858"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1E5620">
        <w:rPr>
          <w:rFonts w:cs="Calibri"/>
          <w:sz w:val="28"/>
          <w:szCs w:val="28"/>
        </w:rPr>
        <w:t>сельского</w:t>
      </w:r>
      <w:r w:rsidR="00384D05"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Кодекс Российской Федерации «Об административных правонарушениях»;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Решение Совета </w:t>
      </w:r>
      <w:r w:rsidR="00CD2CC9">
        <w:rPr>
          <w:rFonts w:cs="Calibri"/>
          <w:sz w:val="28"/>
          <w:szCs w:val="28"/>
        </w:rPr>
        <w:t>Ивановского</w:t>
      </w:r>
      <w:r w:rsidR="001E5620">
        <w:rPr>
          <w:rFonts w:cs="Calibri"/>
          <w:sz w:val="28"/>
          <w:szCs w:val="28"/>
        </w:rPr>
        <w:t xml:space="preserve"> сельского поселения </w:t>
      </w:r>
      <w:proofErr w:type="spellStart"/>
      <w:r w:rsidRPr="009A0A7A">
        <w:rPr>
          <w:rFonts w:cs="Calibri"/>
          <w:sz w:val="28"/>
          <w:szCs w:val="28"/>
        </w:rPr>
        <w:t>Калачинского</w:t>
      </w:r>
      <w:proofErr w:type="spellEnd"/>
      <w:r w:rsidRPr="009A0A7A">
        <w:rPr>
          <w:rFonts w:cs="Calibri"/>
          <w:sz w:val="28"/>
          <w:szCs w:val="28"/>
        </w:rPr>
        <w:t xml:space="preserve"> </w:t>
      </w:r>
      <w:r w:rsidR="001E5620">
        <w:rPr>
          <w:rFonts w:cs="Calibri"/>
          <w:sz w:val="28"/>
          <w:szCs w:val="28"/>
        </w:rPr>
        <w:t xml:space="preserve">муниципального района </w:t>
      </w:r>
      <w:r w:rsidR="002B1A1D">
        <w:rPr>
          <w:bCs/>
          <w:sz w:val="28"/>
          <w:szCs w:val="28"/>
        </w:rPr>
        <w:t>от 15.06</w:t>
      </w:r>
      <w:r w:rsidR="001E5620" w:rsidRPr="00ED56CA">
        <w:rPr>
          <w:bCs/>
          <w:sz w:val="28"/>
          <w:szCs w:val="28"/>
        </w:rPr>
        <w:t>.2015 № 1</w:t>
      </w:r>
      <w:r w:rsidR="002B1A1D">
        <w:rPr>
          <w:bCs/>
          <w:sz w:val="28"/>
          <w:szCs w:val="28"/>
        </w:rPr>
        <w:t>7</w:t>
      </w:r>
      <w:r w:rsidR="001E5620" w:rsidRPr="00ED56CA">
        <w:rPr>
          <w:bCs/>
          <w:sz w:val="28"/>
          <w:szCs w:val="28"/>
        </w:rPr>
        <w:t xml:space="preserve"> «Об утверждении Правил благоустройства, обеспечения чистоты и порядка на территории </w:t>
      </w:r>
      <w:r w:rsidR="002B1A1D">
        <w:rPr>
          <w:bCs/>
          <w:sz w:val="28"/>
          <w:szCs w:val="28"/>
        </w:rPr>
        <w:t>Ивановского</w:t>
      </w:r>
      <w:r w:rsidR="001E5620" w:rsidRPr="00ED56CA">
        <w:rPr>
          <w:bCs/>
          <w:sz w:val="28"/>
          <w:szCs w:val="28"/>
        </w:rPr>
        <w:t xml:space="preserve">  сельского поселения </w:t>
      </w:r>
      <w:proofErr w:type="spellStart"/>
      <w:r w:rsidR="001E5620" w:rsidRPr="00ED56CA">
        <w:rPr>
          <w:bCs/>
          <w:sz w:val="28"/>
          <w:szCs w:val="28"/>
        </w:rPr>
        <w:t>Калачинского</w:t>
      </w:r>
      <w:proofErr w:type="spellEnd"/>
      <w:r w:rsidR="001E5620" w:rsidRPr="00ED56CA">
        <w:rPr>
          <w:bCs/>
          <w:sz w:val="28"/>
          <w:szCs w:val="28"/>
        </w:rPr>
        <w:t xml:space="preserve"> муниципального района Омской области»</w:t>
      </w:r>
      <w:r w:rsidR="001E5620">
        <w:rPr>
          <w:bCs/>
          <w:sz w:val="28"/>
          <w:szCs w:val="28"/>
        </w:rPr>
        <w:t>.</w:t>
      </w:r>
      <w:r w:rsidRPr="009A0A7A">
        <w:rPr>
          <w:rFonts w:cs="Calibri"/>
          <w:sz w:val="28"/>
          <w:szCs w:val="28"/>
        </w:rPr>
        <w:t xml:space="preserve">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1E5620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</w:t>
      </w:r>
      <w:r w:rsidR="00B66B46">
        <w:rPr>
          <w:rFonts w:cs="Calibri"/>
          <w:sz w:val="28"/>
          <w:szCs w:val="28"/>
        </w:rPr>
        <w:t>вил благоустройства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9A0A7A">
        <w:rPr>
          <w:rFonts w:cs="Calibri"/>
          <w:sz w:val="28"/>
          <w:szCs w:val="28"/>
        </w:rPr>
        <w:lastRenderedPageBreak/>
        <w:t xml:space="preserve">организация благоустройства территории </w:t>
      </w:r>
      <w:r w:rsidR="00B66B46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</w:t>
      </w:r>
      <w:r w:rsidR="00B66B46">
        <w:rPr>
          <w:rFonts w:cs="Calibri"/>
          <w:sz w:val="28"/>
          <w:szCs w:val="28"/>
        </w:rPr>
        <w:t>сельских</w:t>
      </w:r>
      <w:r w:rsidRPr="009A0A7A">
        <w:rPr>
          <w:rFonts w:cs="Calibri"/>
          <w:sz w:val="28"/>
          <w:szCs w:val="28"/>
        </w:rPr>
        <w:t xml:space="preserve"> лесов, лесов особо охраняемых природных территорий, расположенных в границах  </w:t>
      </w:r>
      <w:r w:rsidR="00B66B46">
        <w:rPr>
          <w:rFonts w:cs="Calibri"/>
          <w:sz w:val="28"/>
          <w:szCs w:val="28"/>
        </w:rPr>
        <w:t xml:space="preserve">сельского </w:t>
      </w:r>
      <w:r w:rsidRPr="009A0A7A">
        <w:rPr>
          <w:rFonts w:cs="Calibri"/>
          <w:sz w:val="28"/>
          <w:szCs w:val="28"/>
        </w:rPr>
        <w:t>поселения.</w:t>
      </w:r>
      <w:proofErr w:type="gramEnd"/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66B46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CD2CC9">
        <w:rPr>
          <w:rFonts w:cs="Calibri"/>
          <w:sz w:val="28"/>
          <w:szCs w:val="28"/>
        </w:rPr>
        <w:t>Администрация Ивановского</w:t>
      </w:r>
      <w:r w:rsidR="00B66B46">
        <w:rPr>
          <w:rFonts w:cs="Calibri"/>
          <w:sz w:val="28"/>
          <w:szCs w:val="28"/>
        </w:rPr>
        <w:t xml:space="preserve"> сельского поселения </w:t>
      </w:r>
      <w:proofErr w:type="spellStart"/>
      <w:r w:rsidRPr="009A0A7A">
        <w:rPr>
          <w:rFonts w:cs="Calibri"/>
          <w:sz w:val="28"/>
          <w:szCs w:val="28"/>
        </w:rPr>
        <w:t>Калачинского</w:t>
      </w:r>
      <w:proofErr w:type="spellEnd"/>
      <w:r w:rsidRPr="009A0A7A">
        <w:rPr>
          <w:rFonts w:cs="Calibri"/>
          <w:sz w:val="28"/>
          <w:szCs w:val="28"/>
        </w:rPr>
        <w:t xml:space="preserve"> муниципального района (далее – </w:t>
      </w:r>
      <w:r w:rsidR="00B66B4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).</w:t>
      </w:r>
    </w:p>
    <w:p w:rsidR="009A0A7A" w:rsidRPr="009A0A7A" w:rsidRDefault="006D024C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</w:t>
      </w:r>
      <w:r w:rsidR="00A40BEE">
        <w:rPr>
          <w:rFonts w:cs="Calibri"/>
          <w:sz w:val="28"/>
          <w:szCs w:val="28"/>
        </w:rPr>
        <w:t xml:space="preserve"> году</w:t>
      </w:r>
      <w:r w:rsidR="009A0A7A"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1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</w:t>
      </w:r>
      <w:r w:rsidR="004A5E15">
        <w:rPr>
          <w:sz w:val="28"/>
          <w:szCs w:val="28"/>
        </w:rPr>
        <w:t>илактических ме</w:t>
      </w:r>
      <w:r w:rsidR="00944F13">
        <w:rPr>
          <w:sz w:val="28"/>
          <w:szCs w:val="28"/>
        </w:rPr>
        <w:t>роприятий на 2024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gramStart"/>
            <w:r w:rsidRPr="001600E6">
              <w:rPr>
                <w:rFonts w:eastAsia="Calibri"/>
              </w:rPr>
              <w:t>п</w:t>
            </w:r>
            <w:proofErr w:type="gramEnd"/>
            <w:r w:rsidRPr="001600E6">
              <w:rPr>
                <w:rFonts w:eastAsia="Calibri"/>
              </w:rPr>
              <w:t>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 способах получения консультации по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944F13">
              <w:rPr>
                <w:rFonts w:cs="Calibri"/>
                <w:sz w:val="28"/>
                <w:szCs w:val="28"/>
              </w:rPr>
              <w:t>5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</w:t>
            </w:r>
            <w:bookmarkStart w:id="0" w:name="_GoBack"/>
            <w:bookmarkEnd w:id="0"/>
            <w:r w:rsidRPr="00C40D6E">
              <w:rPr>
                <w:rFonts w:cs="Calibri"/>
                <w:sz w:val="28"/>
                <w:szCs w:val="28"/>
              </w:rPr>
              <w:t>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944F13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A40BEE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14.02.202</w:t>
            </w:r>
            <w:r w:rsidR="006D024C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B66B46">
              <w:rPr>
                <w:rFonts w:cs="Calibri"/>
                <w:sz w:val="28"/>
                <w:szCs w:val="28"/>
              </w:rPr>
              <w:t xml:space="preserve">на </w:t>
            </w:r>
            <w:r w:rsidR="006D024C">
              <w:rPr>
                <w:rFonts w:cs="Calibri"/>
                <w:sz w:val="28"/>
                <w:szCs w:val="28"/>
              </w:rPr>
              <w:t>2025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6D024C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6D024C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2024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B66B46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Глава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D024C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D024C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D024C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6D024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6D024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6D024C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  <w:r w:rsidR="002E5858" w:rsidRPr="001600E6">
              <w:t>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994FB6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C8609E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C8609E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2E5858" w:rsidRPr="001600E6">
              <w:t>%</w:t>
            </w:r>
          </w:p>
        </w:tc>
      </w:tr>
    </w:tbl>
    <w:p w:rsidR="00987606" w:rsidRDefault="00987606" w:rsidP="00B66B46">
      <w:pPr>
        <w:autoSpaceDE w:val="0"/>
        <w:autoSpaceDN w:val="0"/>
        <w:jc w:val="both"/>
        <w:rPr>
          <w:bCs/>
          <w:sz w:val="28"/>
          <w:szCs w:val="28"/>
        </w:rPr>
      </w:pPr>
    </w:p>
    <w:sectPr w:rsidR="0098760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99" w:rsidRDefault="00506899" w:rsidP="00CD7D0A">
      <w:r>
        <w:separator/>
      </w:r>
    </w:p>
  </w:endnote>
  <w:endnote w:type="continuationSeparator" w:id="0">
    <w:p w:rsidR="00506899" w:rsidRDefault="0050689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99" w:rsidRDefault="00506899" w:rsidP="00CD7D0A">
      <w:r>
        <w:separator/>
      </w:r>
    </w:p>
  </w:footnote>
  <w:footnote w:type="continuationSeparator" w:id="0">
    <w:p w:rsidR="00506899" w:rsidRDefault="0050689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F1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13D4D"/>
    <w:rsid w:val="00124654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5620"/>
    <w:rsid w:val="001E76A1"/>
    <w:rsid w:val="00205F92"/>
    <w:rsid w:val="00214E1A"/>
    <w:rsid w:val="002157E7"/>
    <w:rsid w:val="00233262"/>
    <w:rsid w:val="00246846"/>
    <w:rsid w:val="00252E04"/>
    <w:rsid w:val="00281C51"/>
    <w:rsid w:val="002A7AA1"/>
    <w:rsid w:val="002B1A1D"/>
    <w:rsid w:val="002C212C"/>
    <w:rsid w:val="002D78E3"/>
    <w:rsid w:val="002E5858"/>
    <w:rsid w:val="002F77E7"/>
    <w:rsid w:val="003144CB"/>
    <w:rsid w:val="00334822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8790D"/>
    <w:rsid w:val="00493A4F"/>
    <w:rsid w:val="00495805"/>
    <w:rsid w:val="004A5E15"/>
    <w:rsid w:val="004C0233"/>
    <w:rsid w:val="004E08BF"/>
    <w:rsid w:val="00506899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1D0D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024C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301DC"/>
    <w:rsid w:val="008C6AFB"/>
    <w:rsid w:val="008F7FEF"/>
    <w:rsid w:val="00912571"/>
    <w:rsid w:val="00914D69"/>
    <w:rsid w:val="00921F18"/>
    <w:rsid w:val="00941693"/>
    <w:rsid w:val="00944F13"/>
    <w:rsid w:val="00947D25"/>
    <w:rsid w:val="0095793C"/>
    <w:rsid w:val="00971710"/>
    <w:rsid w:val="00977177"/>
    <w:rsid w:val="00987606"/>
    <w:rsid w:val="00994FB6"/>
    <w:rsid w:val="009A0A7A"/>
    <w:rsid w:val="009A55A0"/>
    <w:rsid w:val="009A5F8D"/>
    <w:rsid w:val="009B7DB6"/>
    <w:rsid w:val="009C0A35"/>
    <w:rsid w:val="009C33B2"/>
    <w:rsid w:val="009F103B"/>
    <w:rsid w:val="009F67A1"/>
    <w:rsid w:val="009F7C6E"/>
    <w:rsid w:val="00A12B77"/>
    <w:rsid w:val="00A25BCB"/>
    <w:rsid w:val="00A27727"/>
    <w:rsid w:val="00A40BEE"/>
    <w:rsid w:val="00A53B19"/>
    <w:rsid w:val="00A53EC4"/>
    <w:rsid w:val="00A5413D"/>
    <w:rsid w:val="00A54FE6"/>
    <w:rsid w:val="00A62601"/>
    <w:rsid w:val="00A6563C"/>
    <w:rsid w:val="00A84AC2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57A32"/>
    <w:rsid w:val="00B66B46"/>
    <w:rsid w:val="00B9418C"/>
    <w:rsid w:val="00BA1E79"/>
    <w:rsid w:val="00BB3509"/>
    <w:rsid w:val="00BB6F94"/>
    <w:rsid w:val="00BC6407"/>
    <w:rsid w:val="00BE36C1"/>
    <w:rsid w:val="00BF0D40"/>
    <w:rsid w:val="00BF576E"/>
    <w:rsid w:val="00C00F1A"/>
    <w:rsid w:val="00C10D26"/>
    <w:rsid w:val="00C12741"/>
    <w:rsid w:val="00C3012A"/>
    <w:rsid w:val="00C324F3"/>
    <w:rsid w:val="00C351A0"/>
    <w:rsid w:val="00C40D6E"/>
    <w:rsid w:val="00C573A4"/>
    <w:rsid w:val="00C8609E"/>
    <w:rsid w:val="00C86946"/>
    <w:rsid w:val="00C91806"/>
    <w:rsid w:val="00CA0CF4"/>
    <w:rsid w:val="00CA1C8D"/>
    <w:rsid w:val="00CB1155"/>
    <w:rsid w:val="00CB75BF"/>
    <w:rsid w:val="00CD2CC9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C63D5"/>
    <w:rsid w:val="00DD3E67"/>
    <w:rsid w:val="00DE645C"/>
    <w:rsid w:val="00E11D7F"/>
    <w:rsid w:val="00E213FD"/>
    <w:rsid w:val="00E4596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4542F"/>
    <w:rsid w:val="00F66368"/>
    <w:rsid w:val="00F8044A"/>
    <w:rsid w:val="00FB79AA"/>
    <w:rsid w:val="00FD10C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.omskportal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10EE-E293-411E-AFE7-D287A937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8</cp:revision>
  <cp:lastPrinted>2021-09-24T12:57:00Z</cp:lastPrinted>
  <dcterms:created xsi:type="dcterms:W3CDTF">2023-10-05T04:50:00Z</dcterms:created>
  <dcterms:modified xsi:type="dcterms:W3CDTF">2024-10-14T04:10:00Z</dcterms:modified>
</cp:coreProperties>
</file>